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90F7" w14:textId="77777777" w:rsidR="00AD5730" w:rsidRDefault="00AD5730" w:rsidP="00AD5730">
      <w:pPr>
        <w:spacing w:after="120"/>
        <w:contextualSpacing/>
        <w:jc w:val="both"/>
        <w:rPr>
          <w:b/>
          <w:bCs/>
        </w:rPr>
      </w:pPr>
      <w:r w:rsidRPr="00834FF8">
        <w:rPr>
          <w:b/>
          <w:bCs/>
        </w:rPr>
        <w:t xml:space="preserve">USMERNENIE </w:t>
      </w:r>
      <w:r>
        <w:rPr>
          <w:b/>
          <w:bCs/>
        </w:rPr>
        <w:t xml:space="preserve">k organizácií tréningového procesu a súťaží v basketbalových kluboch  </w:t>
      </w:r>
    </w:p>
    <w:p w14:paraId="26042182" w14:textId="77777777" w:rsidR="00AD5730" w:rsidRDefault="00AD5730" w:rsidP="00AD5730">
      <w:pPr>
        <w:spacing w:after="120"/>
        <w:contextualSpacing/>
        <w:jc w:val="both"/>
        <w:rPr>
          <w:b/>
          <w:bCs/>
        </w:rPr>
      </w:pPr>
      <w:r>
        <w:rPr>
          <w:b/>
          <w:bCs/>
        </w:rPr>
        <w:t xml:space="preserve">                                      </w:t>
      </w:r>
      <w:r w:rsidRPr="005A47F6">
        <w:rPr>
          <w:bCs/>
          <w:sz w:val="20"/>
          <w:szCs w:val="20"/>
        </w:rPr>
        <w:t>(s výnimkou klubov NIKÉ SBL, NIKÉ Extraliga ženy)</w:t>
      </w:r>
    </w:p>
    <w:p w14:paraId="1FD06530" w14:textId="23F17547" w:rsidR="00552A68" w:rsidRDefault="00552A68" w:rsidP="00552A68">
      <w:pPr>
        <w:spacing w:after="120"/>
        <w:contextualSpacing/>
        <w:jc w:val="both"/>
        <w:rPr>
          <w:b/>
          <w:noProof/>
        </w:rPr>
      </w:pPr>
    </w:p>
    <w:p w14:paraId="7B09AF75" w14:textId="3D60F585" w:rsidR="00AD5730" w:rsidRPr="004F24F4" w:rsidRDefault="00AD5730" w:rsidP="00AD5730">
      <w:pPr>
        <w:spacing w:after="120"/>
        <w:contextualSpacing/>
        <w:jc w:val="both"/>
        <w:rPr>
          <w:b/>
          <w:bCs/>
        </w:rPr>
      </w:pPr>
      <w:r w:rsidRPr="004F24F4">
        <w:rPr>
          <w:b/>
          <w:bCs/>
        </w:rPr>
        <w:t>účinné od 1</w:t>
      </w:r>
      <w:r w:rsidR="00E511BF">
        <w:rPr>
          <w:b/>
          <w:bCs/>
        </w:rPr>
        <w:t>9</w:t>
      </w:r>
      <w:r w:rsidRPr="004F24F4">
        <w:rPr>
          <w:b/>
          <w:bCs/>
        </w:rPr>
        <w:t>.1.2022</w:t>
      </w:r>
    </w:p>
    <w:p w14:paraId="1C260E92" w14:textId="7B5E07AA" w:rsidR="00AD5730" w:rsidRDefault="00AD5730" w:rsidP="00AD5730">
      <w:pPr>
        <w:spacing w:after="120"/>
        <w:contextualSpacing/>
        <w:rPr>
          <w:b/>
          <w:noProof/>
        </w:rPr>
      </w:pPr>
    </w:p>
    <w:p w14:paraId="7122F002" w14:textId="457E5FBD" w:rsidR="00DF1DB6" w:rsidRDefault="00AD5730" w:rsidP="00AD5730">
      <w:pPr>
        <w:spacing w:after="120"/>
        <w:contextualSpacing/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864089" wp14:editId="02F19A48">
            <wp:simplePos x="0" y="0"/>
            <wp:positionH relativeFrom="column">
              <wp:posOffset>1362075</wp:posOffset>
            </wp:positionH>
            <wp:positionV relativeFrom="paragraph">
              <wp:posOffset>140335</wp:posOffset>
            </wp:positionV>
            <wp:extent cx="2362200" cy="1724025"/>
            <wp:effectExtent l="0" t="0" r="0" b="9525"/>
            <wp:wrapSquare wrapText="bothSides"/>
            <wp:docPr id="1" name="Obrázok 1" descr="Koniec reštrukturalizácie SBA - basket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iec reštrukturalizácie SBA - basket.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br w:type="textWrapping" w:clear="all"/>
      </w:r>
    </w:p>
    <w:p w14:paraId="7ED8E689" w14:textId="77777777" w:rsidR="00DF1DB6" w:rsidRDefault="00DF1DB6" w:rsidP="00AD5730">
      <w:pPr>
        <w:spacing w:after="120"/>
        <w:contextualSpacing/>
        <w:rPr>
          <w:b/>
          <w:noProof/>
        </w:rPr>
      </w:pPr>
    </w:p>
    <w:p w14:paraId="00F66188" w14:textId="0841E249" w:rsidR="00DF1DB6" w:rsidRDefault="00DF1DB6" w:rsidP="00B610C6">
      <w:pPr>
        <w:spacing w:before="1"/>
        <w:ind w:right="250"/>
        <w:jc w:val="both"/>
      </w:pPr>
      <w:r w:rsidRPr="004F24F4">
        <w:t>HK SBA-C</w:t>
      </w:r>
      <w:r>
        <w:t xml:space="preserve"> v</w:t>
      </w:r>
      <w:r w:rsidR="002C4845" w:rsidRPr="004F24F4">
        <w:t> </w:t>
      </w:r>
      <w:r w:rsidR="00670F93" w:rsidRPr="004F24F4">
        <w:t>nad</w:t>
      </w:r>
      <w:r w:rsidR="00447312">
        <w:t>väznosti na V</w:t>
      </w:r>
      <w:r w:rsidR="002C4845" w:rsidRPr="004F24F4">
        <w:t>yhlášk</w:t>
      </w:r>
      <w:r w:rsidR="001760B1">
        <w:t>u</w:t>
      </w:r>
      <w:r w:rsidR="002C4845" w:rsidRPr="004F24F4">
        <w:t xml:space="preserve"> Úradu verejného zdravotníctva SR č. </w:t>
      </w:r>
      <w:r w:rsidR="00E511BF">
        <w:t>5</w:t>
      </w:r>
      <w:r w:rsidR="002C4845" w:rsidRPr="004F24F4">
        <w:t>,</w:t>
      </w:r>
      <w:r w:rsidR="002C4845" w:rsidRPr="004F24F4">
        <w:rPr>
          <w:spacing w:val="-5"/>
        </w:rPr>
        <w:t xml:space="preserve"> </w:t>
      </w:r>
      <w:r w:rsidR="002C4845" w:rsidRPr="004F24F4">
        <w:t>ktor</w:t>
      </w:r>
      <w:r w:rsidR="001760B1">
        <w:t>ou</w:t>
      </w:r>
      <w:r w:rsidR="002C4845" w:rsidRPr="004F24F4">
        <w:rPr>
          <w:spacing w:val="-7"/>
        </w:rPr>
        <w:t xml:space="preserve"> </w:t>
      </w:r>
      <w:r w:rsidR="002C4845" w:rsidRPr="004F24F4">
        <w:t>sa</w:t>
      </w:r>
      <w:r w:rsidR="002C4845" w:rsidRPr="004F24F4">
        <w:rPr>
          <w:spacing w:val="-5"/>
        </w:rPr>
        <w:t xml:space="preserve"> </w:t>
      </w:r>
      <w:r w:rsidR="002C4845" w:rsidRPr="004F24F4">
        <w:t>nariaďujú</w:t>
      </w:r>
      <w:r w:rsidR="002C4845" w:rsidRPr="004F24F4">
        <w:rPr>
          <w:spacing w:val="-6"/>
        </w:rPr>
        <w:t xml:space="preserve"> </w:t>
      </w:r>
      <w:r w:rsidR="002C4845" w:rsidRPr="004F24F4">
        <w:t xml:space="preserve">opatrenia </w:t>
      </w:r>
      <w:r w:rsidR="002C4845" w:rsidRPr="004F24F4">
        <w:rPr>
          <w:spacing w:val="-47"/>
        </w:rPr>
        <w:t xml:space="preserve"> </w:t>
      </w:r>
      <w:r w:rsidR="002C4845" w:rsidRPr="004F24F4">
        <w:t>pri</w:t>
      </w:r>
      <w:r w:rsidR="002C4845" w:rsidRPr="004F24F4">
        <w:rPr>
          <w:spacing w:val="-3"/>
        </w:rPr>
        <w:t xml:space="preserve"> </w:t>
      </w:r>
      <w:r w:rsidR="002C4845" w:rsidRPr="004F24F4">
        <w:t>ohrození</w:t>
      </w:r>
      <w:r w:rsidR="002C4845" w:rsidRPr="004F24F4">
        <w:rPr>
          <w:spacing w:val="-2"/>
        </w:rPr>
        <w:t xml:space="preserve"> </w:t>
      </w:r>
      <w:r w:rsidR="002C4845" w:rsidRPr="004F24F4">
        <w:t>verejného</w:t>
      </w:r>
      <w:r w:rsidR="002C4845" w:rsidRPr="004F24F4">
        <w:rPr>
          <w:spacing w:val="-1"/>
        </w:rPr>
        <w:t xml:space="preserve"> </w:t>
      </w:r>
      <w:r w:rsidR="002C4845" w:rsidRPr="004F24F4">
        <w:t>zdravia</w:t>
      </w:r>
      <w:r w:rsidR="002C4845" w:rsidRPr="004F24F4">
        <w:rPr>
          <w:spacing w:val="-1"/>
        </w:rPr>
        <w:t xml:space="preserve"> </w:t>
      </w:r>
      <w:r w:rsidR="002C4845" w:rsidRPr="004F24F4">
        <w:t>k</w:t>
      </w:r>
      <w:r w:rsidR="002C4845" w:rsidRPr="004F24F4">
        <w:rPr>
          <w:spacing w:val="-4"/>
        </w:rPr>
        <w:t xml:space="preserve"> </w:t>
      </w:r>
      <w:r w:rsidR="002C4845" w:rsidRPr="004F24F4">
        <w:t>obmedzeniam</w:t>
      </w:r>
      <w:r w:rsidR="002C4845" w:rsidRPr="004F24F4">
        <w:rPr>
          <w:spacing w:val="-6"/>
        </w:rPr>
        <w:t xml:space="preserve"> </w:t>
      </w:r>
      <w:r w:rsidR="002C4845" w:rsidRPr="004F24F4">
        <w:t>hromadných</w:t>
      </w:r>
      <w:r w:rsidR="002C4845" w:rsidRPr="004F24F4">
        <w:rPr>
          <w:spacing w:val="-1"/>
        </w:rPr>
        <w:t xml:space="preserve"> </w:t>
      </w:r>
      <w:r w:rsidR="002C4845" w:rsidRPr="004F24F4">
        <w:t xml:space="preserve">podujatí zo </w:t>
      </w:r>
      <w:r w:rsidR="00346EC5" w:rsidRPr="004F24F4">
        <w:t xml:space="preserve">dňa </w:t>
      </w:r>
      <w:r w:rsidR="00447312">
        <w:t>1</w:t>
      </w:r>
      <w:r w:rsidR="00E511BF">
        <w:t>7</w:t>
      </w:r>
      <w:r w:rsidR="004F24F4" w:rsidRPr="004F24F4">
        <w:t>.0</w:t>
      </w:r>
      <w:r w:rsidR="00426292" w:rsidRPr="004F24F4">
        <w:t>1</w:t>
      </w:r>
      <w:r w:rsidR="00346EC5" w:rsidRPr="004F24F4">
        <w:t>.202</w:t>
      </w:r>
      <w:r w:rsidR="00426292" w:rsidRPr="004F24F4">
        <w:t>2</w:t>
      </w:r>
      <w:r w:rsidR="00346EC5" w:rsidRPr="004F24F4">
        <w:t xml:space="preserve"> </w:t>
      </w:r>
      <w:r>
        <w:t xml:space="preserve">považovala za nutné vydať toto usmernenie. </w:t>
      </w:r>
    </w:p>
    <w:p w14:paraId="4F04D8EC" w14:textId="362976D4" w:rsidR="00DF1DB6" w:rsidRDefault="00DF1DB6" w:rsidP="00B610C6">
      <w:pPr>
        <w:spacing w:before="1"/>
        <w:ind w:right="250"/>
        <w:jc w:val="both"/>
      </w:pPr>
      <w:r>
        <w:t xml:space="preserve">Účelom tohto usmernenia je </w:t>
      </w:r>
      <w:r w:rsidR="00AD5730">
        <w:t>p</w:t>
      </w:r>
      <w:r>
        <w:t>oskytnutie</w:t>
      </w:r>
      <w:r w:rsidR="00AD5730">
        <w:t xml:space="preserve"> prehľadných </w:t>
      </w:r>
      <w:r>
        <w:t xml:space="preserve">informácií týkajúcich sa </w:t>
      </w:r>
      <w:r w:rsidR="00AD5730">
        <w:t>aktuálnych nariadení ÚVZ</w:t>
      </w:r>
      <w:r>
        <w:t xml:space="preserve">, za ktorých je možné uskutočniť tréningový proces a tiež hrať súťaže v jednotlivých kategóriách </w:t>
      </w:r>
      <w:r w:rsidR="00AD5730">
        <w:t>pre basketbalové kluby patriace pod SBA</w:t>
      </w:r>
      <w:r>
        <w:t>.</w:t>
      </w:r>
    </w:p>
    <w:p w14:paraId="33ED1D57" w14:textId="48D8690F" w:rsidR="00B610C6" w:rsidRPr="00EC5554" w:rsidRDefault="00B610C6" w:rsidP="00B610C6">
      <w:pPr>
        <w:spacing w:line="276" w:lineRule="auto"/>
        <w:jc w:val="both"/>
        <w:rPr>
          <w:b/>
          <w:bCs/>
        </w:rPr>
      </w:pPr>
      <w:r w:rsidRPr="00EC5554">
        <w:rPr>
          <w:b/>
          <w:bCs/>
        </w:rPr>
        <w:t>HK SBA – C aktuálnu situáciu neustále monitoruje a v prípade nadobudnutia účinnosti novej vyhlášky ÚVZ bude basketbalové kluby obratom informovať o zmenách formou aktualizácie tohto usmernenia.</w:t>
      </w:r>
    </w:p>
    <w:p w14:paraId="1C2BB75F" w14:textId="77777777" w:rsidR="005E552C" w:rsidRPr="00DF1DB6" w:rsidRDefault="005E552C" w:rsidP="00AC5DA8">
      <w:pPr>
        <w:spacing w:before="1"/>
        <w:ind w:right="250"/>
        <w:jc w:val="both"/>
      </w:pPr>
    </w:p>
    <w:p w14:paraId="506787ED" w14:textId="4F86896B" w:rsidR="00552A68" w:rsidRPr="00AC5DA8" w:rsidRDefault="00552A68" w:rsidP="00552A68">
      <w:pPr>
        <w:jc w:val="both"/>
      </w:pPr>
    </w:p>
    <w:p w14:paraId="7752A203" w14:textId="2E10630B" w:rsidR="00F52AB5" w:rsidRPr="005A47F6" w:rsidRDefault="00AC5DA8" w:rsidP="00552A68">
      <w:pPr>
        <w:jc w:val="both"/>
        <w:rPr>
          <w:b/>
          <w:bCs/>
          <w:u w:val="single"/>
        </w:rPr>
      </w:pPr>
      <w:r w:rsidRPr="005A47F6">
        <w:rPr>
          <w:b/>
          <w:bCs/>
          <w:u w:val="single"/>
        </w:rPr>
        <w:t>Vo všeobecnosti</w:t>
      </w:r>
      <w:r w:rsidR="0067465C" w:rsidRPr="005A47F6">
        <w:rPr>
          <w:b/>
          <w:bCs/>
          <w:u w:val="single"/>
        </w:rPr>
        <w:t xml:space="preserve"> k pravidlám a podmienkam </w:t>
      </w:r>
      <w:r w:rsidR="00426292" w:rsidRPr="005A47F6">
        <w:rPr>
          <w:b/>
          <w:bCs/>
          <w:u w:val="single"/>
        </w:rPr>
        <w:t xml:space="preserve">v rámci činnosti </w:t>
      </w:r>
      <w:r w:rsidR="005A47F6" w:rsidRPr="005A47F6">
        <w:rPr>
          <w:b/>
          <w:bCs/>
          <w:u w:val="single"/>
        </w:rPr>
        <w:t>basketbalových</w:t>
      </w:r>
      <w:r w:rsidR="00426292" w:rsidRPr="005A47F6">
        <w:rPr>
          <w:b/>
          <w:bCs/>
          <w:u w:val="single"/>
        </w:rPr>
        <w:t xml:space="preserve"> klubov</w:t>
      </w:r>
      <w:r w:rsidRPr="005A47F6">
        <w:rPr>
          <w:b/>
          <w:bCs/>
          <w:u w:val="single"/>
        </w:rPr>
        <w:t>:</w:t>
      </w:r>
    </w:p>
    <w:p w14:paraId="37284943" w14:textId="77777777" w:rsidR="00F52AB5" w:rsidRDefault="00F52AB5" w:rsidP="00F52AB5">
      <w:pPr>
        <w:widowControl w:val="0"/>
        <w:tabs>
          <w:tab w:val="left" w:pos="768"/>
        </w:tabs>
        <w:autoSpaceDE w:val="0"/>
        <w:autoSpaceDN w:val="0"/>
        <w:jc w:val="both"/>
      </w:pPr>
    </w:p>
    <w:p w14:paraId="33BD7B04" w14:textId="1D950D25" w:rsidR="00426292" w:rsidRPr="00EF4248" w:rsidRDefault="00F52AB5" w:rsidP="00F52AB5">
      <w:pPr>
        <w:pStyle w:val="Odsekzoznamu"/>
        <w:widowControl w:val="0"/>
        <w:numPr>
          <w:ilvl w:val="0"/>
          <w:numId w:val="6"/>
        </w:numPr>
        <w:tabs>
          <w:tab w:val="left" w:pos="768"/>
        </w:tabs>
        <w:autoSpaceDE w:val="0"/>
        <w:autoSpaceDN w:val="0"/>
        <w:jc w:val="both"/>
        <w:rPr>
          <w:b/>
          <w:bCs/>
          <w:color w:val="2F5496" w:themeColor="accent1" w:themeShade="BF"/>
          <w:u w:val="single"/>
        </w:rPr>
      </w:pPr>
      <w:r w:rsidRPr="00EF4248">
        <w:rPr>
          <w:b/>
          <w:bCs/>
          <w:color w:val="2F5496" w:themeColor="accent1" w:themeShade="BF"/>
          <w:u w:val="single"/>
        </w:rPr>
        <w:t>Za</w:t>
      </w:r>
      <w:r w:rsidR="00426292" w:rsidRPr="00EF4248">
        <w:rPr>
          <w:b/>
          <w:bCs/>
          <w:color w:val="2F5496" w:themeColor="accent1" w:themeShade="BF"/>
          <w:u w:val="single"/>
        </w:rPr>
        <w:t xml:space="preserve"> osobu v režime očkovaná alebo prekonala ochorenie COVID-19 (režim „OP“) sa považuje</w:t>
      </w:r>
    </w:p>
    <w:p w14:paraId="28361F87" w14:textId="77777777" w:rsidR="0032534B" w:rsidRPr="0032534B" w:rsidRDefault="00426292" w:rsidP="0032534B">
      <w:pPr>
        <w:pStyle w:val="Odsekzoznamu"/>
        <w:widowControl w:val="0"/>
        <w:numPr>
          <w:ilvl w:val="0"/>
          <w:numId w:val="19"/>
        </w:numPr>
        <w:autoSpaceDE w:val="0"/>
        <w:autoSpaceDN w:val="0"/>
        <w:ind w:left="709" w:hanging="283"/>
        <w:jc w:val="both"/>
        <w:rPr>
          <w:b/>
          <w:bCs/>
        </w:rPr>
      </w:pPr>
      <w:r>
        <w:t xml:space="preserve">osoba kompletne očkovaná, </w:t>
      </w:r>
    </w:p>
    <w:p w14:paraId="574399CD" w14:textId="1F2B3A9E" w:rsidR="0032534B" w:rsidRPr="0032534B" w:rsidRDefault="00426292" w:rsidP="0032534B">
      <w:pPr>
        <w:pStyle w:val="Odsekzoznamu"/>
        <w:widowControl w:val="0"/>
        <w:numPr>
          <w:ilvl w:val="0"/>
          <w:numId w:val="19"/>
        </w:numPr>
        <w:autoSpaceDE w:val="0"/>
        <w:autoSpaceDN w:val="0"/>
        <w:ind w:left="709" w:hanging="283"/>
        <w:jc w:val="both"/>
        <w:rPr>
          <w:b/>
          <w:bCs/>
        </w:rPr>
      </w:pPr>
      <w:r>
        <w:t xml:space="preserve">osoba, ktorá má kontraindikáciu očkovania </w:t>
      </w:r>
      <w:r w:rsidR="0032534B">
        <w:t xml:space="preserve">(nemôže byť očkovaná zo zdravotných dôvodov) </w:t>
      </w:r>
      <w:r>
        <w:t xml:space="preserve">a zároveň je schopná sa preukázať certifikátom o výnimke z očkovania a  negatívnym testom nie starším ako 72 hodín od odberu v prípade RT-PCR alebo LAMP testu alebo 48 hodín od odberu v prípade antigénového testu, </w:t>
      </w:r>
    </w:p>
    <w:p w14:paraId="61FF455C" w14:textId="3E7FB81E" w:rsidR="0032534B" w:rsidRPr="0032534B" w:rsidRDefault="00426292" w:rsidP="0032534B">
      <w:pPr>
        <w:pStyle w:val="Odsekzoznamu"/>
        <w:widowControl w:val="0"/>
        <w:numPr>
          <w:ilvl w:val="0"/>
          <w:numId w:val="19"/>
        </w:numPr>
        <w:autoSpaceDE w:val="0"/>
        <w:autoSpaceDN w:val="0"/>
        <w:ind w:left="709" w:hanging="283"/>
        <w:jc w:val="both"/>
        <w:rPr>
          <w:b/>
          <w:bCs/>
        </w:rPr>
      </w:pPr>
      <w:r>
        <w:t xml:space="preserve">osoba, ktorá prekonala ochorenie COVID-19 v období pred nie viac ako </w:t>
      </w:r>
      <w:r w:rsidR="001760B1">
        <w:t>180</w:t>
      </w:r>
      <w:r>
        <w:t xml:space="preserve"> dňami.</w:t>
      </w:r>
    </w:p>
    <w:p w14:paraId="2529A827" w14:textId="3A44F764" w:rsidR="00426292" w:rsidRDefault="00426292" w:rsidP="0032534B">
      <w:pPr>
        <w:pStyle w:val="Odsekzoznamu"/>
        <w:widowControl w:val="0"/>
        <w:tabs>
          <w:tab w:val="left" w:pos="768"/>
        </w:tabs>
        <w:autoSpaceDE w:val="0"/>
        <w:autoSpaceDN w:val="0"/>
        <w:ind w:left="1125"/>
        <w:jc w:val="both"/>
        <w:rPr>
          <w:b/>
          <w:bCs/>
          <w:spacing w:val="-3"/>
        </w:rPr>
      </w:pPr>
      <w:r>
        <w:t xml:space="preserve"> </w:t>
      </w:r>
      <w:r w:rsidR="00F52AB5" w:rsidRPr="00197E03">
        <w:rPr>
          <w:b/>
          <w:bCs/>
          <w:spacing w:val="-3"/>
        </w:rPr>
        <w:t xml:space="preserve"> </w:t>
      </w:r>
    </w:p>
    <w:p w14:paraId="02D39B70" w14:textId="1368ECCF" w:rsidR="00E511BF" w:rsidRPr="007D4547" w:rsidRDefault="00E511BF" w:rsidP="007D4547">
      <w:pPr>
        <w:pStyle w:val="Odsekzoznamu"/>
        <w:widowControl w:val="0"/>
        <w:numPr>
          <w:ilvl w:val="0"/>
          <w:numId w:val="6"/>
        </w:numPr>
        <w:tabs>
          <w:tab w:val="left" w:pos="768"/>
        </w:tabs>
        <w:autoSpaceDE w:val="0"/>
        <w:autoSpaceDN w:val="0"/>
        <w:jc w:val="both"/>
        <w:rPr>
          <w:b/>
          <w:bCs/>
          <w:color w:val="2F5496" w:themeColor="accent1" w:themeShade="BF"/>
          <w:u w:val="single"/>
        </w:rPr>
      </w:pPr>
      <w:r w:rsidRPr="00EF4248">
        <w:rPr>
          <w:b/>
          <w:bCs/>
          <w:color w:val="2F5496" w:themeColor="accent1" w:themeShade="BF"/>
          <w:u w:val="single"/>
        </w:rPr>
        <w:t>Za osobu v režime „OP</w:t>
      </w:r>
      <w:r>
        <w:rPr>
          <w:b/>
          <w:bCs/>
          <w:color w:val="2F5496" w:themeColor="accent1" w:themeShade="BF"/>
          <w:u w:val="single"/>
        </w:rPr>
        <w:t>+</w:t>
      </w:r>
      <w:r w:rsidRPr="00EF4248">
        <w:rPr>
          <w:b/>
          <w:bCs/>
          <w:color w:val="2F5496" w:themeColor="accent1" w:themeShade="BF"/>
          <w:u w:val="single"/>
        </w:rPr>
        <w:t>“) sa považuje</w:t>
      </w:r>
    </w:p>
    <w:p w14:paraId="21CF1377" w14:textId="77777777" w:rsidR="00E511BF" w:rsidRPr="0032534B" w:rsidRDefault="00E511BF" w:rsidP="00E511BF">
      <w:pPr>
        <w:pStyle w:val="Odsekzoznamu"/>
        <w:widowControl w:val="0"/>
        <w:numPr>
          <w:ilvl w:val="0"/>
          <w:numId w:val="19"/>
        </w:numPr>
        <w:autoSpaceDE w:val="0"/>
        <w:autoSpaceDN w:val="0"/>
        <w:ind w:left="709" w:hanging="283"/>
        <w:jc w:val="both"/>
        <w:rPr>
          <w:b/>
          <w:bCs/>
        </w:rPr>
      </w:pPr>
      <w:r>
        <w:t>osoba kompletne očkovaná a zároveň má posilňovaciu (booster) dávku,</w:t>
      </w:r>
    </w:p>
    <w:p w14:paraId="091B5A07" w14:textId="28CFA92A" w:rsidR="00E511BF" w:rsidRPr="00E511BF" w:rsidRDefault="00B91B2C" w:rsidP="00E511BF">
      <w:pPr>
        <w:pStyle w:val="Odsekzoznamu"/>
        <w:widowControl w:val="0"/>
        <w:numPr>
          <w:ilvl w:val="0"/>
          <w:numId w:val="19"/>
        </w:numPr>
        <w:autoSpaceDE w:val="0"/>
        <w:autoSpaceDN w:val="0"/>
        <w:ind w:left="709" w:hanging="283"/>
        <w:jc w:val="both"/>
        <w:rPr>
          <w:b/>
          <w:bCs/>
        </w:rPr>
      </w:pPr>
      <w:r>
        <w:t>osoba kompletne očkovaná a zároveň je schopná sa preukázať negatívnym výsledkom testu na ochorenie COVID-19 nie starším ako 72 hodín od odberu v prípade RT-PCR alebo LAMP testu alebo 48 hodín od odberu v prípade antigénového testu,</w:t>
      </w:r>
    </w:p>
    <w:p w14:paraId="7966653E" w14:textId="12646630" w:rsidR="00E511BF" w:rsidRPr="00E511BF" w:rsidRDefault="00B91B2C" w:rsidP="00E511BF">
      <w:pPr>
        <w:pStyle w:val="Odsekzoznamu"/>
        <w:widowControl w:val="0"/>
        <w:numPr>
          <w:ilvl w:val="0"/>
          <w:numId w:val="19"/>
        </w:numPr>
        <w:autoSpaceDE w:val="0"/>
        <w:autoSpaceDN w:val="0"/>
        <w:ind w:left="709" w:hanging="283"/>
        <w:jc w:val="both"/>
        <w:rPr>
          <w:b/>
          <w:bCs/>
        </w:rPr>
      </w:pPr>
      <w:r>
        <w:t>osoba kompletne očkovaná do 18 rokov a 2 mesiacov veku,</w:t>
      </w:r>
    </w:p>
    <w:p w14:paraId="036B0065" w14:textId="43A01DED" w:rsidR="00E511BF" w:rsidRPr="00E511BF" w:rsidRDefault="00B91B2C" w:rsidP="00E511BF">
      <w:pPr>
        <w:pStyle w:val="Odsekzoznamu"/>
        <w:widowControl w:val="0"/>
        <w:numPr>
          <w:ilvl w:val="0"/>
          <w:numId w:val="19"/>
        </w:numPr>
        <w:autoSpaceDE w:val="0"/>
        <w:autoSpaceDN w:val="0"/>
        <w:ind w:left="709" w:hanging="283"/>
        <w:jc w:val="both"/>
        <w:rPr>
          <w:b/>
          <w:bCs/>
        </w:rPr>
      </w:pPr>
      <w:r>
        <w:lastRenderedPageBreak/>
        <w:t>osoba kompletne očkovaná a zároveň prekonala ochorenie COVID-19 v období pred nie viac ako 180 dňami,</w:t>
      </w:r>
    </w:p>
    <w:p w14:paraId="517392A3" w14:textId="04D3584F" w:rsidR="00B91B2C" w:rsidRPr="0032534B" w:rsidRDefault="00B91B2C" w:rsidP="00B91B2C">
      <w:pPr>
        <w:pStyle w:val="Odsekzoznamu"/>
        <w:widowControl w:val="0"/>
        <w:numPr>
          <w:ilvl w:val="0"/>
          <w:numId w:val="9"/>
        </w:numPr>
        <w:autoSpaceDE w:val="0"/>
        <w:autoSpaceDN w:val="0"/>
        <w:jc w:val="both"/>
        <w:rPr>
          <w:b/>
          <w:bCs/>
        </w:rPr>
      </w:pPr>
      <w:r>
        <w:t xml:space="preserve"> osoba, ktorá má kontraindikáciu očkovania (nemôže byť očkovaná zo zdravotných dôvodov) a zároveň je schopná sa preukázať certifikátom o výnimke z očkovania a  negatívnym testom nie starším ako 72 hodín od odberu v prípade RT-PCR alebo LAMP testu alebo 48 hodín od odberu v prípade antigénového testu,</w:t>
      </w:r>
    </w:p>
    <w:p w14:paraId="42E02DD6" w14:textId="3A326A19" w:rsidR="00E511BF" w:rsidRPr="00E511BF" w:rsidRDefault="00B91B2C" w:rsidP="00E511BF">
      <w:pPr>
        <w:pStyle w:val="Odsekzoznamu"/>
        <w:widowControl w:val="0"/>
        <w:numPr>
          <w:ilvl w:val="0"/>
          <w:numId w:val="19"/>
        </w:numPr>
        <w:autoSpaceDE w:val="0"/>
        <w:autoSpaceDN w:val="0"/>
        <w:ind w:left="709" w:hanging="283"/>
        <w:jc w:val="both"/>
        <w:rPr>
          <w:b/>
          <w:bCs/>
        </w:rPr>
      </w:pPr>
      <w:r>
        <w:t>osoba do 12 rokov a dvoch mesiacov veku a zároveň je schopná sa preukázať negatívnym výsledkom testu na ochorenie COVID-19 nie starším ako 72 hodín od odberu v prípade RT-PCR alebo LAMP testu alebo 48 hodín od odberu v prípade antigénového testu,</w:t>
      </w:r>
    </w:p>
    <w:p w14:paraId="1452CAD5" w14:textId="7AAC987C" w:rsidR="007D4547" w:rsidRPr="007D4547" w:rsidRDefault="00B91B2C" w:rsidP="007D4547">
      <w:pPr>
        <w:pStyle w:val="Odsekzoznamu"/>
        <w:widowControl w:val="0"/>
        <w:numPr>
          <w:ilvl w:val="0"/>
          <w:numId w:val="19"/>
        </w:numPr>
        <w:autoSpaceDE w:val="0"/>
        <w:autoSpaceDN w:val="0"/>
        <w:ind w:left="709" w:hanging="283"/>
        <w:jc w:val="both"/>
        <w:rPr>
          <w:b/>
          <w:bCs/>
        </w:rPr>
      </w:pPr>
      <w:r>
        <w:t>osoba do 6 rokov veku.</w:t>
      </w:r>
    </w:p>
    <w:p w14:paraId="69E1F1A8" w14:textId="77777777" w:rsidR="00E511BF" w:rsidRPr="00426292" w:rsidRDefault="00E511BF" w:rsidP="0032534B">
      <w:pPr>
        <w:pStyle w:val="Odsekzoznamu"/>
        <w:widowControl w:val="0"/>
        <w:tabs>
          <w:tab w:val="left" w:pos="768"/>
        </w:tabs>
        <w:autoSpaceDE w:val="0"/>
        <w:autoSpaceDN w:val="0"/>
        <w:ind w:left="1125"/>
        <w:jc w:val="both"/>
        <w:rPr>
          <w:b/>
          <w:bCs/>
        </w:rPr>
      </w:pPr>
    </w:p>
    <w:p w14:paraId="23F8C36A" w14:textId="5A496340" w:rsidR="00F52AB5" w:rsidRPr="00EF4248" w:rsidRDefault="009F26C0" w:rsidP="00F52AB5">
      <w:pPr>
        <w:pStyle w:val="Odsekzoznamu"/>
        <w:widowControl w:val="0"/>
        <w:numPr>
          <w:ilvl w:val="0"/>
          <w:numId w:val="6"/>
        </w:numPr>
        <w:tabs>
          <w:tab w:val="left" w:pos="768"/>
        </w:tabs>
        <w:autoSpaceDE w:val="0"/>
        <w:autoSpaceDN w:val="0"/>
        <w:jc w:val="both"/>
        <w:rPr>
          <w:b/>
          <w:bCs/>
          <w:color w:val="2F5496" w:themeColor="accent1" w:themeShade="BF"/>
          <w:u w:val="single"/>
        </w:rPr>
      </w:pPr>
      <w:r w:rsidRPr="00EF4248">
        <w:rPr>
          <w:b/>
          <w:bCs/>
          <w:color w:val="2F5496" w:themeColor="accent1" w:themeShade="BF"/>
          <w:u w:val="single"/>
        </w:rPr>
        <w:t xml:space="preserve">Za </w:t>
      </w:r>
      <w:r w:rsidR="00426292" w:rsidRPr="00EF4248">
        <w:rPr>
          <w:b/>
          <w:bCs/>
          <w:color w:val="2F5496" w:themeColor="accent1" w:themeShade="BF"/>
          <w:u w:val="single"/>
        </w:rPr>
        <w:t>kompletne</w:t>
      </w:r>
      <w:r w:rsidR="00F52AB5" w:rsidRPr="00EF4248">
        <w:rPr>
          <w:b/>
          <w:bCs/>
          <w:color w:val="2F5496" w:themeColor="accent1" w:themeShade="BF"/>
          <w:spacing w:val="-3"/>
          <w:u w:val="single"/>
        </w:rPr>
        <w:t xml:space="preserve"> </w:t>
      </w:r>
      <w:r w:rsidR="00F52AB5" w:rsidRPr="00EF4248">
        <w:rPr>
          <w:b/>
          <w:bCs/>
          <w:color w:val="2F5496" w:themeColor="accent1" w:themeShade="BF"/>
          <w:u w:val="single"/>
        </w:rPr>
        <w:t>očkovanú</w:t>
      </w:r>
      <w:r w:rsidR="00F52AB5" w:rsidRPr="00EF4248">
        <w:rPr>
          <w:b/>
          <w:bCs/>
          <w:color w:val="2F5496" w:themeColor="accent1" w:themeShade="BF"/>
          <w:spacing w:val="-4"/>
          <w:u w:val="single"/>
        </w:rPr>
        <w:t xml:space="preserve"> </w:t>
      </w:r>
      <w:r w:rsidR="00F52AB5" w:rsidRPr="00EF4248">
        <w:rPr>
          <w:b/>
          <w:bCs/>
          <w:color w:val="2F5496" w:themeColor="accent1" w:themeShade="BF"/>
          <w:u w:val="single"/>
        </w:rPr>
        <w:t>osobu</w:t>
      </w:r>
      <w:r w:rsidR="00F52AB5" w:rsidRPr="00EF4248">
        <w:rPr>
          <w:b/>
          <w:bCs/>
          <w:color w:val="2F5496" w:themeColor="accent1" w:themeShade="BF"/>
          <w:spacing w:val="-4"/>
          <w:u w:val="single"/>
        </w:rPr>
        <w:t xml:space="preserve"> </w:t>
      </w:r>
      <w:r w:rsidR="00F52AB5" w:rsidRPr="00EF4248">
        <w:rPr>
          <w:b/>
          <w:bCs/>
          <w:color w:val="2F5496" w:themeColor="accent1" w:themeShade="BF"/>
          <w:u w:val="single"/>
        </w:rPr>
        <w:t>sa</w:t>
      </w:r>
      <w:r w:rsidR="00F52AB5" w:rsidRPr="00EF4248">
        <w:rPr>
          <w:b/>
          <w:bCs/>
          <w:color w:val="2F5496" w:themeColor="accent1" w:themeShade="BF"/>
          <w:spacing w:val="-3"/>
          <w:u w:val="single"/>
        </w:rPr>
        <w:t xml:space="preserve"> </w:t>
      </w:r>
      <w:r w:rsidR="00F52AB5" w:rsidRPr="00EF4248">
        <w:rPr>
          <w:b/>
          <w:bCs/>
          <w:color w:val="2F5496" w:themeColor="accent1" w:themeShade="BF"/>
          <w:u w:val="single"/>
        </w:rPr>
        <w:t>považuje:</w:t>
      </w:r>
    </w:p>
    <w:p w14:paraId="196D82B7" w14:textId="317086D9" w:rsidR="00F52AB5" w:rsidRPr="00AC5DA8" w:rsidRDefault="00F52AB5" w:rsidP="000258BB">
      <w:pPr>
        <w:pStyle w:val="Odsekzoznamu"/>
        <w:widowControl w:val="0"/>
        <w:numPr>
          <w:ilvl w:val="0"/>
          <w:numId w:val="8"/>
        </w:numPr>
        <w:tabs>
          <w:tab w:val="left" w:pos="406"/>
        </w:tabs>
        <w:autoSpaceDE w:val="0"/>
        <w:autoSpaceDN w:val="0"/>
        <w:spacing w:before="5" w:line="244" w:lineRule="auto"/>
        <w:ind w:right="108"/>
        <w:jc w:val="both"/>
      </w:pPr>
      <w:r w:rsidRPr="00AC5DA8">
        <w:t xml:space="preserve">osoba najmenej 14 dní po aplikácii druhej dávky </w:t>
      </w:r>
      <w:r w:rsidR="00197E03">
        <w:t>očkovania</w:t>
      </w:r>
      <w:r w:rsidRPr="00AC5DA8">
        <w:t xml:space="preserve"> s</w:t>
      </w:r>
      <w:r w:rsidR="009F26C0">
        <w:t> </w:t>
      </w:r>
      <w:r w:rsidRPr="00AC5DA8">
        <w:t>dvojdávkovou</w:t>
      </w:r>
      <w:r w:rsidR="009F26C0">
        <w:t xml:space="preserve"> </w:t>
      </w:r>
      <w:r w:rsidRPr="00AC5DA8">
        <w:rPr>
          <w:spacing w:val="-47"/>
        </w:rPr>
        <w:t xml:space="preserve"> </w:t>
      </w:r>
      <w:r w:rsidRPr="00AC5DA8">
        <w:t>schémou</w:t>
      </w:r>
      <w:r w:rsidR="00426292">
        <w:t xml:space="preserve"> nie však viac ako </w:t>
      </w:r>
      <w:r w:rsidR="001760B1">
        <w:t>jeden rok</w:t>
      </w:r>
      <w:r w:rsidR="00426292">
        <w:t xml:space="preserve"> od aplikácie poslednej dávky</w:t>
      </w:r>
      <w:r w:rsidRPr="00AC5DA8">
        <w:t>,</w:t>
      </w:r>
    </w:p>
    <w:p w14:paraId="193C6BB8" w14:textId="75BD7877" w:rsidR="00F52AB5" w:rsidRPr="00AC5DA8" w:rsidRDefault="00F52AB5" w:rsidP="000258BB">
      <w:pPr>
        <w:pStyle w:val="Odsekzoznamu"/>
        <w:widowControl w:val="0"/>
        <w:numPr>
          <w:ilvl w:val="0"/>
          <w:numId w:val="8"/>
        </w:numPr>
        <w:tabs>
          <w:tab w:val="left" w:pos="406"/>
        </w:tabs>
        <w:autoSpaceDE w:val="0"/>
        <w:autoSpaceDN w:val="0"/>
        <w:spacing w:before="2" w:line="244" w:lineRule="auto"/>
        <w:ind w:right="108"/>
        <w:jc w:val="both"/>
      </w:pPr>
      <w:r w:rsidRPr="00AC5DA8">
        <w:t xml:space="preserve">osoba najmenej 21 dní po aplikácii prvej dávky </w:t>
      </w:r>
      <w:r w:rsidR="00197E03">
        <w:t>očkovania</w:t>
      </w:r>
      <w:r w:rsidRPr="00AC5DA8">
        <w:t xml:space="preserve"> s jednodávkovou</w:t>
      </w:r>
      <w:r w:rsidRPr="00AC5DA8">
        <w:rPr>
          <w:spacing w:val="1"/>
        </w:rPr>
        <w:t xml:space="preserve"> </w:t>
      </w:r>
      <w:r w:rsidRPr="00AC5DA8">
        <w:t>schémou</w:t>
      </w:r>
      <w:r w:rsidR="009F26C0" w:rsidRPr="009F26C0">
        <w:t xml:space="preserve"> </w:t>
      </w:r>
      <w:r w:rsidR="009F26C0">
        <w:t xml:space="preserve">nie však viac ako </w:t>
      </w:r>
      <w:r w:rsidR="00B610C6">
        <w:t>jeden rok</w:t>
      </w:r>
      <w:r w:rsidR="009F26C0">
        <w:t xml:space="preserve"> od aplikácie poslednej dávky</w:t>
      </w:r>
      <w:r w:rsidRPr="00AC5DA8">
        <w:t>,</w:t>
      </w:r>
    </w:p>
    <w:p w14:paraId="3DFD1F07" w14:textId="0B3DAC3C" w:rsidR="00F52AB5" w:rsidRPr="00AC5DA8" w:rsidRDefault="00F52AB5" w:rsidP="000258BB">
      <w:pPr>
        <w:pStyle w:val="Odsekzoznamu"/>
        <w:widowControl w:val="0"/>
        <w:numPr>
          <w:ilvl w:val="0"/>
          <w:numId w:val="8"/>
        </w:numPr>
        <w:tabs>
          <w:tab w:val="left" w:pos="406"/>
        </w:tabs>
        <w:autoSpaceDE w:val="0"/>
        <w:autoSpaceDN w:val="0"/>
        <w:spacing w:before="1" w:line="244" w:lineRule="auto"/>
        <w:ind w:right="107"/>
        <w:jc w:val="both"/>
      </w:pPr>
      <w:r w:rsidRPr="00AC5DA8">
        <w:t xml:space="preserve">osoba najmenej 14 dní po aplikácii prvej dávky </w:t>
      </w:r>
      <w:r w:rsidR="00197E03">
        <w:t>očkovania</w:t>
      </w:r>
      <w:r w:rsidRPr="00AC5DA8">
        <w:t>, ak bola prvá</w:t>
      </w:r>
      <w:r w:rsidRPr="00AC5DA8">
        <w:rPr>
          <w:spacing w:val="1"/>
        </w:rPr>
        <w:t xml:space="preserve"> </w:t>
      </w:r>
      <w:r w:rsidRPr="00AC5DA8">
        <w:t xml:space="preserve">dávka očkovania podaná do </w:t>
      </w:r>
      <w:r w:rsidR="00B610C6">
        <w:t>180</w:t>
      </w:r>
      <w:r w:rsidRPr="00AC5DA8">
        <w:t xml:space="preserve"> dní od prekonania COVID-</w:t>
      </w:r>
      <w:r w:rsidRPr="00AC5DA8">
        <w:rPr>
          <w:spacing w:val="-47"/>
        </w:rPr>
        <w:t xml:space="preserve"> </w:t>
      </w:r>
      <w:r w:rsidRPr="00AC5DA8">
        <w:t>19</w:t>
      </w:r>
      <w:r w:rsidR="009F26C0" w:rsidRPr="009F26C0">
        <w:t xml:space="preserve"> </w:t>
      </w:r>
      <w:r w:rsidR="009F26C0">
        <w:t xml:space="preserve">nie však viac ako </w:t>
      </w:r>
      <w:r w:rsidR="00B610C6">
        <w:t>jeden rok</w:t>
      </w:r>
      <w:r w:rsidR="009F26C0">
        <w:t xml:space="preserve"> od aplikácie poslednej dávky</w:t>
      </w:r>
      <w:r w:rsidRPr="00AC5DA8">
        <w:t>,</w:t>
      </w:r>
      <w:r w:rsidRPr="00AC5DA8">
        <w:rPr>
          <w:spacing w:val="1"/>
        </w:rPr>
        <w:t xml:space="preserve"> </w:t>
      </w:r>
      <w:r w:rsidRPr="00AC5DA8">
        <w:t>alebo</w:t>
      </w:r>
    </w:p>
    <w:p w14:paraId="2937A571" w14:textId="4A62BCEA" w:rsidR="00F52AB5" w:rsidRDefault="00F52AB5" w:rsidP="00DF1DB6">
      <w:pPr>
        <w:pStyle w:val="Odsekzoznamu"/>
        <w:widowControl w:val="0"/>
        <w:numPr>
          <w:ilvl w:val="0"/>
          <w:numId w:val="8"/>
        </w:numPr>
        <w:tabs>
          <w:tab w:val="left" w:pos="406"/>
        </w:tabs>
        <w:autoSpaceDE w:val="0"/>
        <w:autoSpaceDN w:val="0"/>
        <w:spacing w:before="2"/>
        <w:jc w:val="both"/>
      </w:pPr>
      <w:r w:rsidRPr="00AC5DA8">
        <w:t>osoba</w:t>
      </w:r>
      <w:r w:rsidRPr="00AC5DA8">
        <w:rPr>
          <w:spacing w:val="-2"/>
        </w:rPr>
        <w:t xml:space="preserve"> </w:t>
      </w:r>
      <w:r w:rsidRPr="00AC5DA8">
        <w:t>do</w:t>
      </w:r>
      <w:r w:rsidRPr="00AC5DA8">
        <w:rPr>
          <w:spacing w:val="-1"/>
        </w:rPr>
        <w:t xml:space="preserve"> </w:t>
      </w:r>
      <w:r w:rsidRPr="00AC5DA8">
        <w:t>12 rokov</w:t>
      </w:r>
      <w:r w:rsidR="00426292">
        <w:t xml:space="preserve"> a 2 mesiacov</w:t>
      </w:r>
      <w:r w:rsidRPr="00AC5DA8">
        <w:rPr>
          <w:spacing w:val="-3"/>
        </w:rPr>
        <w:t xml:space="preserve"> </w:t>
      </w:r>
      <w:r w:rsidRPr="00AC5DA8">
        <w:t>veku.</w:t>
      </w:r>
    </w:p>
    <w:p w14:paraId="48F63E31" w14:textId="77777777" w:rsidR="007D4547" w:rsidRPr="00DF1DB6" w:rsidRDefault="007D4547" w:rsidP="007D4547">
      <w:pPr>
        <w:pStyle w:val="Odsekzoznamu"/>
        <w:widowControl w:val="0"/>
        <w:tabs>
          <w:tab w:val="left" w:pos="406"/>
        </w:tabs>
        <w:autoSpaceDE w:val="0"/>
        <w:autoSpaceDN w:val="0"/>
        <w:spacing w:before="2"/>
        <w:ind w:left="720"/>
        <w:jc w:val="both"/>
      </w:pPr>
    </w:p>
    <w:p w14:paraId="56D2B52B" w14:textId="627A39CB" w:rsidR="00F52AB5" w:rsidRPr="00EF4248" w:rsidRDefault="00F52AB5" w:rsidP="000426BF">
      <w:pPr>
        <w:pStyle w:val="Odsekzoznamu"/>
        <w:widowControl w:val="0"/>
        <w:numPr>
          <w:ilvl w:val="0"/>
          <w:numId w:val="6"/>
        </w:numPr>
        <w:tabs>
          <w:tab w:val="left" w:pos="768"/>
        </w:tabs>
        <w:autoSpaceDE w:val="0"/>
        <w:autoSpaceDN w:val="0"/>
        <w:spacing w:before="1" w:line="244" w:lineRule="auto"/>
        <w:ind w:right="109"/>
        <w:jc w:val="both"/>
        <w:rPr>
          <w:b/>
          <w:bCs/>
          <w:color w:val="2F5496" w:themeColor="accent1" w:themeShade="BF"/>
          <w:u w:val="single"/>
        </w:rPr>
      </w:pPr>
      <w:r w:rsidRPr="00EF4248">
        <w:rPr>
          <w:b/>
          <w:bCs/>
          <w:color w:val="2F5496" w:themeColor="accent1" w:themeShade="BF"/>
          <w:u w:val="single"/>
        </w:rPr>
        <w:t>Za</w:t>
      </w:r>
      <w:r w:rsidRPr="00EF4248">
        <w:rPr>
          <w:b/>
          <w:bCs/>
          <w:color w:val="2F5496" w:themeColor="accent1" w:themeShade="BF"/>
          <w:spacing w:val="13"/>
          <w:u w:val="single"/>
        </w:rPr>
        <w:t xml:space="preserve"> </w:t>
      </w:r>
      <w:r w:rsidRPr="00EF4248">
        <w:rPr>
          <w:b/>
          <w:bCs/>
          <w:color w:val="2F5496" w:themeColor="accent1" w:themeShade="BF"/>
          <w:u w:val="single"/>
        </w:rPr>
        <w:t>osobu</w:t>
      </w:r>
      <w:r w:rsidRPr="00EF4248">
        <w:rPr>
          <w:b/>
          <w:bCs/>
          <w:color w:val="2F5496" w:themeColor="accent1" w:themeShade="BF"/>
          <w:spacing w:val="59"/>
          <w:u w:val="single"/>
        </w:rPr>
        <w:t xml:space="preserve"> </w:t>
      </w:r>
      <w:r w:rsidRPr="00EF4248">
        <w:rPr>
          <w:b/>
          <w:bCs/>
          <w:color w:val="2F5496" w:themeColor="accent1" w:themeShade="BF"/>
          <w:u w:val="single"/>
        </w:rPr>
        <w:t>v</w:t>
      </w:r>
      <w:r w:rsidRPr="00EF4248">
        <w:rPr>
          <w:b/>
          <w:bCs/>
          <w:color w:val="2F5496" w:themeColor="accent1" w:themeShade="BF"/>
          <w:spacing w:val="-2"/>
          <w:u w:val="single"/>
        </w:rPr>
        <w:t xml:space="preserve"> </w:t>
      </w:r>
      <w:r w:rsidRPr="00EF4248">
        <w:rPr>
          <w:b/>
          <w:bCs/>
          <w:color w:val="2F5496" w:themeColor="accent1" w:themeShade="BF"/>
          <w:u w:val="single"/>
        </w:rPr>
        <w:t>režime</w:t>
      </w:r>
      <w:r w:rsidRPr="00EF4248">
        <w:rPr>
          <w:b/>
          <w:bCs/>
          <w:color w:val="2F5496" w:themeColor="accent1" w:themeShade="BF"/>
          <w:spacing w:val="59"/>
          <w:u w:val="single"/>
        </w:rPr>
        <w:t xml:space="preserve"> </w:t>
      </w:r>
      <w:r w:rsidRPr="00EF4248">
        <w:rPr>
          <w:b/>
          <w:bCs/>
          <w:color w:val="2F5496" w:themeColor="accent1" w:themeShade="BF"/>
          <w:u w:val="single"/>
        </w:rPr>
        <w:t>očkovaná,</w:t>
      </w:r>
      <w:r w:rsidRPr="00EF4248">
        <w:rPr>
          <w:b/>
          <w:bCs/>
          <w:color w:val="2F5496" w:themeColor="accent1" w:themeShade="BF"/>
          <w:spacing w:val="60"/>
          <w:u w:val="single"/>
        </w:rPr>
        <w:t xml:space="preserve"> </w:t>
      </w:r>
      <w:r w:rsidRPr="00EF4248">
        <w:rPr>
          <w:b/>
          <w:bCs/>
          <w:color w:val="2F5496" w:themeColor="accent1" w:themeShade="BF"/>
          <w:u w:val="single"/>
        </w:rPr>
        <w:t>testovaná,</w:t>
      </w:r>
      <w:r w:rsidRPr="00EF4248">
        <w:rPr>
          <w:b/>
          <w:bCs/>
          <w:color w:val="2F5496" w:themeColor="accent1" w:themeShade="BF"/>
          <w:spacing w:val="59"/>
          <w:u w:val="single"/>
        </w:rPr>
        <w:t xml:space="preserve"> </w:t>
      </w:r>
      <w:r w:rsidRPr="00EF4248">
        <w:rPr>
          <w:b/>
          <w:bCs/>
          <w:color w:val="2F5496" w:themeColor="accent1" w:themeShade="BF"/>
          <w:u w:val="single"/>
        </w:rPr>
        <w:t>alebo</w:t>
      </w:r>
      <w:r w:rsidRPr="00EF4248">
        <w:rPr>
          <w:b/>
          <w:bCs/>
          <w:color w:val="2F5496" w:themeColor="accent1" w:themeShade="BF"/>
          <w:spacing w:val="60"/>
          <w:u w:val="single"/>
        </w:rPr>
        <w:t xml:space="preserve"> </w:t>
      </w:r>
      <w:r w:rsidRPr="00EF4248">
        <w:rPr>
          <w:b/>
          <w:bCs/>
          <w:color w:val="2F5496" w:themeColor="accent1" w:themeShade="BF"/>
          <w:u w:val="single"/>
        </w:rPr>
        <w:t>prekonala</w:t>
      </w:r>
      <w:r w:rsidRPr="00EF4248">
        <w:rPr>
          <w:b/>
          <w:bCs/>
          <w:color w:val="2F5496" w:themeColor="accent1" w:themeShade="BF"/>
          <w:spacing w:val="59"/>
          <w:u w:val="single"/>
        </w:rPr>
        <w:t xml:space="preserve"> </w:t>
      </w:r>
      <w:r w:rsidRPr="00EF4248">
        <w:rPr>
          <w:b/>
          <w:bCs/>
          <w:color w:val="2F5496" w:themeColor="accent1" w:themeShade="BF"/>
          <w:u w:val="single"/>
        </w:rPr>
        <w:t>COVID-19</w:t>
      </w:r>
      <w:r w:rsidRPr="00EF4248">
        <w:rPr>
          <w:b/>
          <w:bCs/>
          <w:color w:val="2F5496" w:themeColor="accent1" w:themeShade="BF"/>
          <w:spacing w:val="61"/>
          <w:u w:val="single"/>
        </w:rPr>
        <w:t xml:space="preserve"> </w:t>
      </w:r>
      <w:r w:rsidRPr="00EF4248">
        <w:rPr>
          <w:b/>
          <w:bCs/>
          <w:color w:val="2F5496" w:themeColor="accent1" w:themeShade="BF"/>
          <w:u w:val="single"/>
        </w:rPr>
        <w:t>(„režim</w:t>
      </w:r>
      <w:r w:rsidRPr="00EF4248">
        <w:rPr>
          <w:b/>
          <w:bCs/>
          <w:color w:val="2F5496" w:themeColor="accent1" w:themeShade="BF"/>
          <w:spacing w:val="1"/>
          <w:u w:val="single"/>
        </w:rPr>
        <w:t xml:space="preserve"> </w:t>
      </w:r>
      <w:r w:rsidRPr="00EF4248">
        <w:rPr>
          <w:b/>
          <w:bCs/>
          <w:color w:val="2F5496" w:themeColor="accent1" w:themeShade="BF"/>
          <w:u w:val="single"/>
        </w:rPr>
        <w:t>OTP“)</w:t>
      </w:r>
      <w:r w:rsidRPr="00EF4248">
        <w:rPr>
          <w:b/>
          <w:bCs/>
          <w:color w:val="2F5496" w:themeColor="accent1" w:themeShade="BF"/>
          <w:spacing w:val="1"/>
          <w:u w:val="single"/>
        </w:rPr>
        <w:t xml:space="preserve"> </w:t>
      </w:r>
      <w:r w:rsidRPr="00EF4248">
        <w:rPr>
          <w:b/>
          <w:bCs/>
          <w:color w:val="2F5496" w:themeColor="accent1" w:themeShade="BF"/>
          <w:u w:val="single"/>
        </w:rPr>
        <w:t>sa</w:t>
      </w:r>
      <w:r w:rsidRPr="00EF4248">
        <w:rPr>
          <w:b/>
          <w:bCs/>
          <w:color w:val="2F5496" w:themeColor="accent1" w:themeShade="BF"/>
          <w:spacing w:val="-1"/>
          <w:u w:val="single"/>
        </w:rPr>
        <w:t xml:space="preserve"> </w:t>
      </w:r>
      <w:r w:rsidRPr="00EF4248">
        <w:rPr>
          <w:b/>
          <w:bCs/>
          <w:color w:val="2F5496" w:themeColor="accent1" w:themeShade="BF"/>
          <w:u w:val="single"/>
        </w:rPr>
        <w:t>považuje:</w:t>
      </w:r>
    </w:p>
    <w:p w14:paraId="6C7D19A5" w14:textId="77777777" w:rsidR="00F52AB5" w:rsidRPr="00AC5DA8" w:rsidRDefault="00F52AB5" w:rsidP="00A56D26">
      <w:pPr>
        <w:pStyle w:val="Odsekzoznamu"/>
        <w:widowControl w:val="0"/>
        <w:numPr>
          <w:ilvl w:val="0"/>
          <w:numId w:val="9"/>
        </w:numPr>
        <w:tabs>
          <w:tab w:val="left" w:pos="406"/>
        </w:tabs>
        <w:autoSpaceDE w:val="0"/>
        <w:autoSpaceDN w:val="0"/>
        <w:spacing w:before="1"/>
        <w:jc w:val="both"/>
      </w:pPr>
      <w:r w:rsidRPr="00AC5DA8">
        <w:t>osoba</w:t>
      </w:r>
      <w:r w:rsidRPr="00AC5DA8">
        <w:rPr>
          <w:spacing w:val="-2"/>
        </w:rPr>
        <w:t xml:space="preserve"> </w:t>
      </w:r>
      <w:r w:rsidRPr="00AC5DA8">
        <w:t>plne</w:t>
      </w:r>
      <w:r w:rsidRPr="00AC5DA8">
        <w:rPr>
          <w:spacing w:val="-2"/>
        </w:rPr>
        <w:t xml:space="preserve"> </w:t>
      </w:r>
      <w:r w:rsidRPr="00AC5DA8">
        <w:t>očkovaná,</w:t>
      </w:r>
    </w:p>
    <w:p w14:paraId="164DC5C8" w14:textId="20B67BF9" w:rsidR="00F52AB5" w:rsidRPr="00AC5DA8" w:rsidRDefault="00F52AB5" w:rsidP="00A56D26">
      <w:pPr>
        <w:pStyle w:val="Odsekzoznamu"/>
        <w:widowControl w:val="0"/>
        <w:numPr>
          <w:ilvl w:val="0"/>
          <w:numId w:val="9"/>
        </w:numPr>
        <w:tabs>
          <w:tab w:val="left" w:pos="406"/>
        </w:tabs>
        <w:autoSpaceDE w:val="0"/>
        <w:autoSpaceDN w:val="0"/>
        <w:spacing w:before="5" w:line="244" w:lineRule="auto"/>
        <w:ind w:right="109"/>
        <w:jc w:val="both"/>
      </w:pPr>
      <w:r w:rsidRPr="00AC5DA8">
        <w:t>osoba,</w:t>
      </w:r>
      <w:r w:rsidRPr="00AC5DA8">
        <w:rPr>
          <w:spacing w:val="14"/>
        </w:rPr>
        <w:t xml:space="preserve"> </w:t>
      </w:r>
      <w:r w:rsidRPr="00AC5DA8">
        <w:t>ktorá</w:t>
      </w:r>
      <w:r w:rsidRPr="00AC5DA8">
        <w:rPr>
          <w:spacing w:val="15"/>
        </w:rPr>
        <w:t xml:space="preserve"> </w:t>
      </w:r>
      <w:r w:rsidR="0067465C">
        <w:t>sa preukáže</w:t>
      </w:r>
      <w:r w:rsidRPr="00AC5DA8">
        <w:rPr>
          <w:spacing w:val="12"/>
        </w:rPr>
        <w:t xml:space="preserve"> </w:t>
      </w:r>
      <w:r w:rsidRPr="00AC5DA8">
        <w:t>negatívnym</w:t>
      </w:r>
      <w:r w:rsidRPr="00AC5DA8">
        <w:rPr>
          <w:spacing w:val="9"/>
        </w:rPr>
        <w:t xml:space="preserve"> </w:t>
      </w:r>
      <w:r w:rsidR="00370B61">
        <w:t>testom</w:t>
      </w:r>
      <w:r w:rsidRPr="00AC5DA8">
        <w:rPr>
          <w:spacing w:val="11"/>
        </w:rPr>
        <w:t xml:space="preserve"> </w:t>
      </w:r>
      <w:r w:rsidRPr="00AC5DA8">
        <w:t>nie</w:t>
      </w:r>
      <w:r w:rsidRPr="00AC5DA8">
        <w:rPr>
          <w:spacing w:val="13"/>
        </w:rPr>
        <w:t xml:space="preserve"> </w:t>
      </w:r>
      <w:r w:rsidRPr="00AC5DA8">
        <w:t>starším</w:t>
      </w:r>
      <w:r w:rsidRPr="00AC5DA8">
        <w:rPr>
          <w:spacing w:val="8"/>
        </w:rPr>
        <w:t xml:space="preserve"> </w:t>
      </w:r>
      <w:r w:rsidRPr="00AC5DA8">
        <w:t>ako</w:t>
      </w:r>
      <w:r w:rsidRPr="00AC5DA8">
        <w:rPr>
          <w:spacing w:val="-47"/>
        </w:rPr>
        <w:t xml:space="preserve"> </w:t>
      </w:r>
      <w:r w:rsidR="00A56D26" w:rsidRPr="00AC5DA8">
        <w:rPr>
          <w:spacing w:val="-47"/>
        </w:rPr>
        <w:t xml:space="preserve">     </w:t>
      </w:r>
      <w:r w:rsidRPr="00AC5DA8">
        <w:t>72 hodín od odberu v prípade RT-PCR alebo LAMP testu alebo 48 hodín od odberu v prípade antigénového</w:t>
      </w:r>
      <w:r w:rsidRPr="00AC5DA8">
        <w:rPr>
          <w:spacing w:val="1"/>
        </w:rPr>
        <w:t xml:space="preserve"> </w:t>
      </w:r>
      <w:r w:rsidRPr="00AC5DA8">
        <w:t>testu,</w:t>
      </w:r>
      <w:r w:rsidR="00370B61" w:rsidRPr="00370B61">
        <w:t xml:space="preserve"> </w:t>
      </w:r>
      <w:r w:rsidR="009E17AC">
        <w:t xml:space="preserve">pričom </w:t>
      </w:r>
      <w:r w:rsidR="00370B61" w:rsidRPr="00D33251">
        <w:rPr>
          <w:b/>
          <w:bCs/>
        </w:rPr>
        <w:t>u detí do 18 rokov</w:t>
      </w:r>
      <w:r w:rsidR="00F90D97">
        <w:rPr>
          <w:b/>
          <w:bCs/>
        </w:rPr>
        <w:t xml:space="preserve"> veku</w:t>
      </w:r>
      <w:r w:rsidR="00370B61" w:rsidRPr="00D33251">
        <w:rPr>
          <w:b/>
          <w:bCs/>
        </w:rPr>
        <w:t xml:space="preserve"> sa za antigénový test považuje </w:t>
      </w:r>
      <w:r w:rsidR="00EF4248">
        <w:rPr>
          <w:b/>
          <w:bCs/>
        </w:rPr>
        <w:t xml:space="preserve">aj </w:t>
      </w:r>
      <w:r w:rsidR="00370B61" w:rsidRPr="00D33251">
        <w:rPr>
          <w:b/>
          <w:bCs/>
        </w:rPr>
        <w:t>test vykonaný v domácom prostredí v rámci výchovno-vzdelávacieho procesu v školách</w:t>
      </w:r>
      <w:r w:rsidR="00370B61">
        <w:t>,</w:t>
      </w:r>
      <w:r w:rsidRPr="00AC5DA8">
        <w:rPr>
          <w:spacing w:val="-1"/>
        </w:rPr>
        <w:t xml:space="preserve"> </w:t>
      </w:r>
      <w:r w:rsidRPr="00AC5DA8">
        <w:t>alebo</w:t>
      </w:r>
    </w:p>
    <w:p w14:paraId="47EE7D1D" w14:textId="0038E3B9" w:rsidR="00D53642" w:rsidRDefault="00F52AB5" w:rsidP="00A16D7A">
      <w:pPr>
        <w:pStyle w:val="Odsekzoznamu"/>
        <w:widowControl w:val="0"/>
        <w:numPr>
          <w:ilvl w:val="0"/>
          <w:numId w:val="9"/>
        </w:numPr>
        <w:tabs>
          <w:tab w:val="left" w:pos="406"/>
        </w:tabs>
        <w:autoSpaceDE w:val="0"/>
        <w:autoSpaceDN w:val="0"/>
        <w:spacing w:before="2"/>
        <w:jc w:val="both"/>
      </w:pPr>
      <w:r w:rsidRPr="00AC5DA8">
        <w:t>osoba</w:t>
      </w:r>
      <w:r w:rsidR="0067465C">
        <w:t>, ktorá</w:t>
      </w:r>
      <w:r w:rsidRPr="00AC5DA8">
        <w:rPr>
          <w:spacing w:val="-2"/>
        </w:rPr>
        <w:t xml:space="preserve"> </w:t>
      </w:r>
      <w:r w:rsidRPr="00AC5DA8">
        <w:t>prekonala</w:t>
      </w:r>
      <w:r w:rsidRPr="00AC5DA8">
        <w:rPr>
          <w:spacing w:val="-2"/>
        </w:rPr>
        <w:t xml:space="preserve"> </w:t>
      </w:r>
      <w:r w:rsidRPr="00AC5DA8">
        <w:t>COVID-19</w:t>
      </w:r>
      <w:r w:rsidRPr="00AC5DA8">
        <w:rPr>
          <w:spacing w:val="-1"/>
        </w:rPr>
        <w:t xml:space="preserve"> </w:t>
      </w:r>
      <w:r w:rsidRPr="00AC5DA8">
        <w:t>v</w:t>
      </w:r>
      <w:r w:rsidRPr="00AC5DA8">
        <w:rPr>
          <w:spacing w:val="-3"/>
        </w:rPr>
        <w:t xml:space="preserve"> </w:t>
      </w:r>
      <w:r w:rsidRPr="00AC5DA8">
        <w:t>období</w:t>
      </w:r>
      <w:r w:rsidRPr="00AC5DA8">
        <w:rPr>
          <w:spacing w:val="-2"/>
        </w:rPr>
        <w:t xml:space="preserve"> </w:t>
      </w:r>
      <w:r w:rsidRPr="00AC5DA8">
        <w:t>pred</w:t>
      </w:r>
      <w:r w:rsidRPr="00AC5DA8">
        <w:rPr>
          <w:spacing w:val="-1"/>
        </w:rPr>
        <w:t xml:space="preserve"> </w:t>
      </w:r>
      <w:r w:rsidRPr="00AC5DA8">
        <w:t>nie</w:t>
      </w:r>
      <w:r w:rsidRPr="00AC5DA8">
        <w:rPr>
          <w:spacing w:val="-2"/>
        </w:rPr>
        <w:t xml:space="preserve"> </w:t>
      </w:r>
      <w:r w:rsidRPr="00AC5DA8">
        <w:t>viac</w:t>
      </w:r>
      <w:r w:rsidRPr="00AC5DA8">
        <w:rPr>
          <w:spacing w:val="-2"/>
        </w:rPr>
        <w:t xml:space="preserve"> </w:t>
      </w:r>
      <w:r w:rsidRPr="00AC5DA8">
        <w:t>ako</w:t>
      </w:r>
      <w:r w:rsidRPr="00AC5DA8">
        <w:rPr>
          <w:spacing w:val="-1"/>
        </w:rPr>
        <w:t xml:space="preserve"> </w:t>
      </w:r>
      <w:r w:rsidR="00B610C6">
        <w:t>180</w:t>
      </w:r>
      <w:r w:rsidRPr="00AC5DA8">
        <w:rPr>
          <w:spacing w:val="-1"/>
        </w:rPr>
        <w:t xml:space="preserve"> </w:t>
      </w:r>
      <w:r w:rsidRPr="00AC5DA8">
        <w:t>dňami</w:t>
      </w:r>
      <w:r w:rsidR="00E511BF">
        <w:t>,</w:t>
      </w:r>
    </w:p>
    <w:p w14:paraId="7F456318" w14:textId="4C0A34B9" w:rsidR="00E511BF" w:rsidRPr="0032534B" w:rsidRDefault="00E511BF" w:rsidP="00E511BF">
      <w:pPr>
        <w:pStyle w:val="Odsekzoznamu"/>
        <w:widowControl w:val="0"/>
        <w:numPr>
          <w:ilvl w:val="0"/>
          <w:numId w:val="9"/>
        </w:numPr>
        <w:autoSpaceDE w:val="0"/>
        <w:autoSpaceDN w:val="0"/>
        <w:jc w:val="both"/>
        <w:rPr>
          <w:b/>
          <w:bCs/>
        </w:rPr>
      </w:pPr>
      <w:r>
        <w:t>osoba, ktorá má kontraindikáciu očkovania (nemôže byť očkovaná zo zdravotných dôvodov) a zároveň je schopná sa preukázať certifikátom o výnimke z očkovania a  negatívnym testom nie starším ako 72 hodín od odberu v prípade RT-PCR alebo LAMP testu alebo 48 hodín od odberu v prípade antigénového testu.</w:t>
      </w:r>
    </w:p>
    <w:p w14:paraId="1B627684" w14:textId="2B695921" w:rsidR="00EC5554" w:rsidRDefault="00EC5554" w:rsidP="003E56F1">
      <w:pPr>
        <w:jc w:val="both"/>
        <w:rPr>
          <w:b/>
          <w:bCs/>
          <w:u w:val="single"/>
        </w:rPr>
      </w:pPr>
    </w:p>
    <w:p w14:paraId="038D2327" w14:textId="77777777" w:rsidR="00EC5554" w:rsidRDefault="00EC5554" w:rsidP="003E56F1">
      <w:pPr>
        <w:jc w:val="both"/>
        <w:rPr>
          <w:b/>
          <w:bCs/>
          <w:u w:val="single"/>
        </w:rPr>
      </w:pPr>
    </w:p>
    <w:p w14:paraId="1E8F6979" w14:textId="49CE55D9" w:rsidR="003E56F1" w:rsidRDefault="005A47F6" w:rsidP="003E56F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PODMIENKY </w:t>
      </w:r>
      <w:r w:rsidR="003E56F1" w:rsidRPr="00F810BA">
        <w:rPr>
          <w:b/>
          <w:bCs/>
          <w:u w:val="single"/>
        </w:rPr>
        <w:t xml:space="preserve">ORGANIZÁCIE </w:t>
      </w:r>
      <w:r w:rsidR="00530230">
        <w:rPr>
          <w:b/>
          <w:bCs/>
          <w:u w:val="single"/>
        </w:rPr>
        <w:t>TR</w:t>
      </w:r>
      <w:r w:rsidR="007F42BD">
        <w:rPr>
          <w:b/>
          <w:bCs/>
          <w:u w:val="single"/>
        </w:rPr>
        <w:t>ÉNINGOVÉHO  PROCESU A </w:t>
      </w:r>
      <w:r>
        <w:rPr>
          <w:b/>
          <w:bCs/>
          <w:u w:val="single"/>
        </w:rPr>
        <w:t xml:space="preserve"> </w:t>
      </w:r>
      <w:r w:rsidR="007F42BD">
        <w:rPr>
          <w:b/>
          <w:bCs/>
          <w:u w:val="single"/>
        </w:rPr>
        <w:t xml:space="preserve">SÚŤAŽÍ V </w:t>
      </w:r>
      <w:r>
        <w:rPr>
          <w:b/>
          <w:bCs/>
          <w:u w:val="single"/>
        </w:rPr>
        <w:t xml:space="preserve">BASKETBALOVÝCH </w:t>
      </w:r>
      <w:r w:rsidR="00DA6945">
        <w:rPr>
          <w:b/>
          <w:bCs/>
          <w:u w:val="single"/>
        </w:rPr>
        <w:t xml:space="preserve">KLUBOCH </w:t>
      </w:r>
      <w:r w:rsidR="003E56F1" w:rsidRPr="00F810BA">
        <w:rPr>
          <w:b/>
          <w:bCs/>
          <w:u w:val="single"/>
        </w:rPr>
        <w:t xml:space="preserve"> </w:t>
      </w:r>
    </w:p>
    <w:p w14:paraId="42038629" w14:textId="77777777" w:rsidR="005E552C" w:rsidRPr="00F810BA" w:rsidRDefault="005E552C" w:rsidP="003E56F1">
      <w:pPr>
        <w:jc w:val="both"/>
        <w:rPr>
          <w:b/>
          <w:bCs/>
          <w:u w:val="single"/>
        </w:rPr>
      </w:pPr>
    </w:p>
    <w:p w14:paraId="394EC95B" w14:textId="77777777" w:rsidR="003E56F1" w:rsidRPr="005B0F97" w:rsidRDefault="003E56F1" w:rsidP="00A16D7A">
      <w:pPr>
        <w:jc w:val="both"/>
      </w:pPr>
    </w:p>
    <w:p w14:paraId="00949E9B" w14:textId="23C863DA" w:rsidR="00A16D7A" w:rsidRPr="00EF4248" w:rsidRDefault="00CC4FFB" w:rsidP="00F810BA">
      <w:pPr>
        <w:pStyle w:val="Odsekzoznamu"/>
        <w:numPr>
          <w:ilvl w:val="0"/>
          <w:numId w:val="17"/>
        </w:numPr>
        <w:jc w:val="both"/>
        <w:rPr>
          <w:b/>
          <w:bCs/>
          <w:i/>
          <w:iCs/>
          <w:color w:val="2F5496" w:themeColor="accent1" w:themeShade="BF"/>
          <w:u w:val="single"/>
        </w:rPr>
      </w:pPr>
      <w:r w:rsidRPr="00EF4248">
        <w:rPr>
          <w:b/>
          <w:bCs/>
          <w:i/>
          <w:iCs/>
          <w:color w:val="2F5496" w:themeColor="accent1" w:themeShade="BF"/>
          <w:u w:val="single"/>
        </w:rPr>
        <w:t>Súťažné stretnutia a tréningy</w:t>
      </w:r>
    </w:p>
    <w:p w14:paraId="7F4E7DB0" w14:textId="77777777" w:rsidR="00F810BA" w:rsidRPr="005B0F97" w:rsidRDefault="00F810BA" w:rsidP="00F810BA">
      <w:pPr>
        <w:pStyle w:val="Odsekzoznamu"/>
        <w:ind w:left="720"/>
        <w:jc w:val="both"/>
      </w:pPr>
    </w:p>
    <w:p w14:paraId="64789C0B" w14:textId="4E7EAAE8" w:rsidR="00F810BA" w:rsidRDefault="00DA6945" w:rsidP="00A16D7A">
      <w:pPr>
        <w:jc w:val="both"/>
      </w:pPr>
      <w:r>
        <w:t>Akékoľvek hromadné športové podujatia vrátane súťaží a tréningov je možné organizovať:</w:t>
      </w:r>
    </w:p>
    <w:p w14:paraId="6C6F6750" w14:textId="08DB4A86" w:rsidR="00DA6945" w:rsidRDefault="00DA6945" w:rsidP="00A16D7A">
      <w:pPr>
        <w:jc w:val="both"/>
      </w:pPr>
    </w:p>
    <w:p w14:paraId="08549C80" w14:textId="0238D87C" w:rsidR="00AE6764" w:rsidRDefault="00AC6E83" w:rsidP="00AC6E83">
      <w:pPr>
        <w:pStyle w:val="Odsekzoznamu"/>
        <w:numPr>
          <w:ilvl w:val="0"/>
          <w:numId w:val="20"/>
        </w:numPr>
        <w:jc w:val="both"/>
      </w:pPr>
      <w:r>
        <w:lastRenderedPageBreak/>
        <w:t>podujatia osôb do 18 rokov</w:t>
      </w:r>
      <w:r w:rsidR="004F24F4">
        <w:t xml:space="preserve"> </w:t>
      </w:r>
      <w:r>
        <w:t xml:space="preserve">veku </w:t>
      </w:r>
      <w:r w:rsidR="005A47F6">
        <w:t xml:space="preserve">s účasťou výhradne v režime OTP, </w:t>
      </w:r>
      <w:r>
        <w:t>a to v kapacite maximálne 100 osôb</w:t>
      </w:r>
      <w:r w:rsidR="007637EB">
        <w:t xml:space="preserve">, </w:t>
      </w:r>
      <w:r w:rsidR="007637EB" w:rsidRPr="007637EB">
        <w:rPr>
          <w:b/>
          <w:bCs/>
        </w:rPr>
        <w:t>pričom deti do 12 rokov a dvoch mesiacov veku sa automaticky považujú za kompletne  očkované</w:t>
      </w:r>
      <w:r>
        <w:t xml:space="preserve">, </w:t>
      </w:r>
    </w:p>
    <w:p w14:paraId="5FC69DDE" w14:textId="75F21C69" w:rsidR="00DA6945" w:rsidRDefault="00AC6E83" w:rsidP="00AC6E83">
      <w:pPr>
        <w:pStyle w:val="Odsekzoznamu"/>
        <w:numPr>
          <w:ilvl w:val="0"/>
          <w:numId w:val="20"/>
        </w:numPr>
        <w:jc w:val="both"/>
      </w:pPr>
      <w:r>
        <w:t>podujatia osôb starších ako 18 rokov</w:t>
      </w:r>
      <w:r w:rsidR="004F24F4">
        <w:t xml:space="preserve"> </w:t>
      </w:r>
      <w:r w:rsidR="006366DE">
        <w:t>veku</w:t>
      </w:r>
      <w:r w:rsidR="005A47F6">
        <w:t xml:space="preserve"> s účasťou výhradne v režime OP, </w:t>
      </w:r>
      <w:r>
        <w:t>a to v kapacite maximálne 100 osôb.</w:t>
      </w:r>
    </w:p>
    <w:p w14:paraId="078A960B" w14:textId="2939C97A" w:rsidR="00AE6764" w:rsidRDefault="00AE6764" w:rsidP="00AE6764">
      <w:pPr>
        <w:jc w:val="both"/>
      </w:pPr>
    </w:p>
    <w:p w14:paraId="28F32763" w14:textId="6F0D73F2" w:rsidR="00791837" w:rsidRDefault="00791837" w:rsidP="00AE6764">
      <w:pPr>
        <w:jc w:val="both"/>
      </w:pPr>
      <w:r>
        <w:t>Zároveň je nevyhnutné zo strany organizátora zabezpečiť plnenie všetkých hygienických</w:t>
      </w:r>
      <w:r w:rsidR="00643888">
        <w:t xml:space="preserve"> požiadaviek</w:t>
      </w:r>
      <w:r>
        <w:t xml:space="preserve"> a ďalších protiepide</w:t>
      </w:r>
      <w:r w:rsidR="00643888">
        <w:t>miologických opatrení podľa vyhlášky zo strany organizátora podujatia.</w:t>
      </w:r>
    </w:p>
    <w:p w14:paraId="0B457EB7" w14:textId="77777777" w:rsidR="004F24F4" w:rsidRDefault="004F24F4" w:rsidP="004F24F4">
      <w:pPr>
        <w:jc w:val="both"/>
      </w:pPr>
    </w:p>
    <w:p w14:paraId="6D19A8CB" w14:textId="53C240F6" w:rsidR="004F24F4" w:rsidRPr="004F24F4" w:rsidRDefault="00EF4248" w:rsidP="004F24F4">
      <w:pPr>
        <w:jc w:val="both"/>
      </w:pPr>
      <w:r>
        <w:t>Súťaž</w:t>
      </w:r>
      <w:r w:rsidR="004F24F4" w:rsidRPr="004F24F4">
        <w:t xml:space="preserve"> </w:t>
      </w:r>
      <w:r w:rsidR="004F24F4">
        <w:t>U19, U23, 1.liga, 2.liga, SP mužov, SP žien sa považ</w:t>
      </w:r>
      <w:r w:rsidR="004F24F4" w:rsidRPr="004F24F4">
        <w:t xml:space="preserve">uje za </w:t>
      </w:r>
      <w:r w:rsidR="00EC5554">
        <w:t xml:space="preserve">hromadné </w:t>
      </w:r>
      <w:r w:rsidR="004F24F4" w:rsidRPr="004F24F4">
        <w:t>podujat</w:t>
      </w:r>
      <w:r w:rsidR="004F24F4">
        <w:t>ie nad 18 rokov</w:t>
      </w:r>
      <w:r w:rsidR="00F90D97">
        <w:t xml:space="preserve"> veku</w:t>
      </w:r>
      <w:r w:rsidR="004F24F4">
        <w:t>, a teda ide o rež</w:t>
      </w:r>
      <w:r w:rsidR="004F24F4" w:rsidRPr="004F24F4">
        <w:t>im OP.</w:t>
      </w:r>
    </w:p>
    <w:p w14:paraId="0C6D6CAF" w14:textId="77777777" w:rsidR="004F24F4" w:rsidRPr="004F24F4" w:rsidRDefault="004F24F4" w:rsidP="004F24F4">
      <w:pPr>
        <w:jc w:val="both"/>
      </w:pPr>
    </w:p>
    <w:p w14:paraId="6AD137D0" w14:textId="48C47C3D" w:rsidR="00854F98" w:rsidRDefault="00DE0A85" w:rsidP="00DE0A85">
      <w:pPr>
        <w:jc w:val="both"/>
        <w:rPr>
          <w:i/>
        </w:rPr>
      </w:pPr>
      <w:r w:rsidRPr="004F24F4">
        <w:rPr>
          <w:b/>
          <w:i/>
        </w:rPr>
        <w:t>pozn.</w:t>
      </w:r>
      <w:r w:rsidRPr="004F24F4">
        <w:rPr>
          <w:i/>
        </w:rPr>
        <w:t xml:space="preserve"> </w:t>
      </w:r>
      <w:r w:rsidRPr="00854F98">
        <w:rPr>
          <w:i/>
        </w:rPr>
        <w:t xml:space="preserve">v prípade, ak sa v rámci SP mužov a žien stretnú proti sebe družstvá </w:t>
      </w:r>
      <w:r w:rsidR="00854F98" w:rsidRPr="00854F98">
        <w:rPr>
          <w:i/>
        </w:rPr>
        <w:t>z Niké SBL,  resp. z Niké Extraliga žien</w:t>
      </w:r>
      <w:r w:rsidR="001C0DAA">
        <w:rPr>
          <w:i/>
        </w:rPr>
        <w:t xml:space="preserve">, </w:t>
      </w:r>
      <w:r w:rsidR="00854F98" w:rsidRPr="00854F98">
        <w:rPr>
          <w:i/>
        </w:rPr>
        <w:t>platí režim OTP.</w:t>
      </w:r>
    </w:p>
    <w:p w14:paraId="1D2696AE" w14:textId="77777777" w:rsidR="00DE0A85" w:rsidRDefault="00DE0A85" w:rsidP="004F24F4">
      <w:pPr>
        <w:jc w:val="both"/>
      </w:pPr>
    </w:p>
    <w:p w14:paraId="5CEF2F7E" w14:textId="672BFA1A" w:rsidR="004F24F4" w:rsidRDefault="00EF4248" w:rsidP="004F24F4">
      <w:pPr>
        <w:jc w:val="both"/>
      </w:pPr>
      <w:r>
        <w:t>Súťaž</w:t>
      </w:r>
      <w:r w:rsidR="004F24F4" w:rsidRPr="004F24F4">
        <w:t xml:space="preserve"> U17, U15, U14, U13, U12, U11 a U10 </w:t>
      </w:r>
      <w:r w:rsidR="00EC5554">
        <w:t>sa považ</w:t>
      </w:r>
      <w:r w:rsidR="00EC5554" w:rsidRPr="004F24F4">
        <w:t>uje</w:t>
      </w:r>
      <w:r w:rsidR="004F24F4">
        <w:t xml:space="preserve"> za </w:t>
      </w:r>
      <w:r w:rsidR="00EC5554">
        <w:t xml:space="preserve">hromadné </w:t>
      </w:r>
      <w:r w:rsidR="004F24F4">
        <w:t>podujati</w:t>
      </w:r>
      <w:r w:rsidR="00EC5554">
        <w:t>e</w:t>
      </w:r>
      <w:r w:rsidR="004F24F4">
        <w:t xml:space="preserve"> do 18 rokov </w:t>
      </w:r>
      <w:r w:rsidR="00F90D97">
        <w:t>veku</w:t>
      </w:r>
      <w:r w:rsidR="004F24F4">
        <w:t>, a teda ide o rež</w:t>
      </w:r>
      <w:r w:rsidR="004F24F4" w:rsidRPr="004F24F4">
        <w:t>im OTP.</w:t>
      </w:r>
    </w:p>
    <w:p w14:paraId="052555D3" w14:textId="77777777" w:rsidR="004F24F4" w:rsidRDefault="004F24F4" w:rsidP="004F24F4"/>
    <w:p w14:paraId="069A1B05" w14:textId="44DB48CB" w:rsidR="00EC5554" w:rsidRDefault="004F24F4" w:rsidP="00AE6764">
      <w:pPr>
        <w:jc w:val="both"/>
        <w:rPr>
          <w:i/>
        </w:rPr>
      </w:pPr>
      <w:r w:rsidRPr="004F24F4">
        <w:rPr>
          <w:b/>
          <w:i/>
        </w:rPr>
        <w:t>pozn.</w:t>
      </w:r>
      <w:r w:rsidRPr="004F24F4">
        <w:rPr>
          <w:i/>
        </w:rPr>
        <w:t xml:space="preserve"> rozhodujúci je vek súťaže, to znamená, ak</w:t>
      </w:r>
      <w:r w:rsidR="00EC5554">
        <w:rPr>
          <w:i/>
        </w:rPr>
        <w:t xml:space="preserve"> </w:t>
      </w:r>
      <w:r w:rsidR="00EC5554" w:rsidRPr="004F24F4">
        <w:rPr>
          <w:i/>
        </w:rPr>
        <w:t>hrá</w:t>
      </w:r>
      <w:r w:rsidRPr="004F24F4">
        <w:rPr>
          <w:i/>
        </w:rPr>
        <w:t xml:space="preserve"> </w:t>
      </w:r>
      <w:r w:rsidR="00EC5554">
        <w:rPr>
          <w:i/>
        </w:rPr>
        <w:t xml:space="preserve">17 </w:t>
      </w:r>
      <w:r w:rsidRPr="004F24F4">
        <w:rPr>
          <w:i/>
        </w:rPr>
        <w:t>ročný chlapec za kategóriu U19</w:t>
      </w:r>
      <w:r w:rsidR="00EC5554">
        <w:rPr>
          <w:i/>
        </w:rPr>
        <w:t xml:space="preserve"> a vyššiu</w:t>
      </w:r>
      <w:r w:rsidRPr="004F24F4">
        <w:rPr>
          <w:i/>
        </w:rPr>
        <w:t xml:space="preserve"> nevzťahuje sa na neho režim OTP, ale automaticky režim OP</w:t>
      </w:r>
      <w:r w:rsidR="001C0DAA">
        <w:rPr>
          <w:i/>
        </w:rPr>
        <w:t>.</w:t>
      </w:r>
    </w:p>
    <w:p w14:paraId="2B846EC9" w14:textId="49A705B0" w:rsidR="001C0DAA" w:rsidRDefault="001C0DAA" w:rsidP="00AE6764">
      <w:pPr>
        <w:jc w:val="both"/>
        <w:rPr>
          <w:i/>
        </w:rPr>
      </w:pPr>
    </w:p>
    <w:p w14:paraId="27921DF6" w14:textId="7506B4AD" w:rsidR="00CE38EB" w:rsidRPr="00CE38EB" w:rsidRDefault="00CE38EB" w:rsidP="00CE38EB">
      <w:pPr>
        <w:pStyle w:val="Odsekzoznamu"/>
        <w:numPr>
          <w:ilvl w:val="0"/>
          <w:numId w:val="17"/>
        </w:numPr>
        <w:jc w:val="both"/>
        <w:rPr>
          <w:b/>
          <w:bCs/>
          <w:i/>
          <w:color w:val="4472C4" w:themeColor="accent1"/>
          <w:u w:val="single"/>
        </w:rPr>
      </w:pPr>
      <w:r w:rsidRPr="00CE38EB">
        <w:rPr>
          <w:b/>
          <w:bCs/>
          <w:i/>
          <w:color w:val="4472C4" w:themeColor="accent1"/>
          <w:u w:val="single"/>
        </w:rPr>
        <w:t>Zasielanie záznamov o testovaní</w:t>
      </w:r>
    </w:p>
    <w:p w14:paraId="5B06F3E6" w14:textId="34C792C6" w:rsidR="001C0DAA" w:rsidRDefault="001C0DAA" w:rsidP="00AE6764">
      <w:pPr>
        <w:jc w:val="both"/>
        <w:rPr>
          <w:i/>
        </w:rPr>
      </w:pPr>
    </w:p>
    <w:p w14:paraId="0BE5A8D8" w14:textId="254ED236" w:rsidR="00CE38EB" w:rsidRDefault="004574FF" w:rsidP="00CE38EB">
      <w:pPr>
        <w:jc w:val="both"/>
      </w:pPr>
      <w:r>
        <w:t>Pred</w:t>
      </w:r>
      <w:r w:rsidR="00CE38EB" w:rsidRPr="00CE38EB">
        <w:t xml:space="preserve"> každ</w:t>
      </w:r>
      <w:r>
        <w:t>ým</w:t>
      </w:r>
      <w:r w:rsidR="00CE38EB" w:rsidRPr="00CE38EB">
        <w:t xml:space="preserve"> stretnutí</w:t>
      </w:r>
      <w:r>
        <w:t>m</w:t>
      </w:r>
      <w:r w:rsidR="00CE38EB" w:rsidRPr="00CE38EB">
        <w:t xml:space="preserve"> sú družstvá povinné </w:t>
      </w:r>
      <w:r>
        <w:t xml:space="preserve">predložiť hlavnému organizátorovi stretnutia </w:t>
      </w:r>
      <w:r w:rsidRPr="00CE38EB">
        <w:t>záznam</w:t>
      </w:r>
      <w:r>
        <w:t>y</w:t>
      </w:r>
      <w:r w:rsidRPr="00CE38EB">
        <w:t xml:space="preserve"> o</w:t>
      </w:r>
      <w:r>
        <w:t> </w:t>
      </w:r>
      <w:r w:rsidRPr="00CE38EB">
        <w:t>testovaní</w:t>
      </w:r>
      <w:r>
        <w:t xml:space="preserve"> svojich družstiev, ktorý ich následne po skončení stretnutia zašle </w:t>
      </w:r>
      <w:r w:rsidR="00CE38EB" w:rsidRPr="00CE38EB">
        <w:t xml:space="preserve">na sekretariát súťaží SBA </w:t>
      </w:r>
      <w:r>
        <w:t xml:space="preserve">aj </w:t>
      </w:r>
      <w:r w:rsidR="00CE38EB" w:rsidRPr="00CE38EB">
        <w:t>spolu so zápisom o</w:t>
      </w:r>
      <w:r>
        <w:t> </w:t>
      </w:r>
      <w:r w:rsidR="00CE38EB" w:rsidRPr="00CE38EB">
        <w:t>stretnutí</w:t>
      </w:r>
      <w:r>
        <w:t xml:space="preserve"> a </w:t>
      </w:r>
      <w:r w:rsidR="00CE38EB" w:rsidRPr="00CE38EB">
        <w:t>kontrolným formulárom</w:t>
      </w:r>
      <w:r>
        <w:t>.</w:t>
      </w:r>
    </w:p>
    <w:p w14:paraId="5BE32760" w14:textId="346A6BD6" w:rsidR="007F5C33" w:rsidRDefault="007F5C33" w:rsidP="00CE38EB">
      <w:pPr>
        <w:jc w:val="both"/>
      </w:pPr>
    </w:p>
    <w:p w14:paraId="4A22554A" w14:textId="7415D2D8" w:rsidR="007F5C33" w:rsidRDefault="007F5C33" w:rsidP="007F5C33">
      <w:pPr>
        <w:jc w:val="both"/>
        <w:rPr>
          <w:color w:val="000000"/>
          <w:shd w:val="clear" w:color="auto" w:fill="FFFFFF"/>
        </w:rPr>
      </w:pPr>
      <w:r w:rsidRPr="007F5C33">
        <w:rPr>
          <w:color w:val="000000"/>
          <w:shd w:val="clear" w:color="auto" w:fill="FFFFFF"/>
        </w:rPr>
        <w:t>Následne ako hlavný organizátor stretnutia skontroluje Záznamy o testovaní družstiev, tak ich odovzdá hlavnému rozhodcovi stretnutia, ktorý skontroluje, či všetci hráči/tréneri, ktorí sú</w:t>
      </w:r>
      <w:r>
        <w:rPr>
          <w:color w:val="000000"/>
          <w:shd w:val="clear" w:color="auto" w:fill="FFFFFF"/>
        </w:rPr>
        <w:t xml:space="preserve"> </w:t>
      </w:r>
      <w:r w:rsidRPr="007F5C33">
        <w:rPr>
          <w:color w:val="000000"/>
          <w:shd w:val="clear" w:color="auto" w:fill="FFFFFF"/>
        </w:rPr>
        <w:t xml:space="preserve">uvedení </w:t>
      </w:r>
      <w:r>
        <w:rPr>
          <w:color w:val="000000"/>
          <w:shd w:val="clear" w:color="auto" w:fill="FFFFFF"/>
        </w:rPr>
        <w:t>v zápise o stretnutí sú uvedení aj v záznamoch o testovaní.</w:t>
      </w:r>
    </w:p>
    <w:p w14:paraId="0BE6EFBD" w14:textId="6E34EC8F" w:rsidR="00F8659C" w:rsidRDefault="007F5C33" w:rsidP="007F5C33">
      <w:pPr>
        <w:jc w:val="both"/>
        <w:rPr>
          <w:color w:val="000000"/>
          <w:shd w:val="clear" w:color="auto" w:fill="FFFFFF"/>
        </w:rPr>
      </w:pPr>
      <w:r w:rsidRPr="007F5C33">
        <w:rPr>
          <w:color w:val="000000"/>
        </w:rPr>
        <w:br/>
      </w:r>
      <w:r w:rsidRPr="007F5C33">
        <w:rPr>
          <w:color w:val="000000"/>
          <w:shd w:val="clear" w:color="auto" w:fill="FFFFFF"/>
        </w:rPr>
        <w:t xml:space="preserve">(hlavný rozhodca povolí hrať iba hráčom/trénerom, ktorí sú uvedení v zápise o stretnutí a zároveň </w:t>
      </w:r>
      <w:r w:rsidR="00F8659C">
        <w:rPr>
          <w:color w:val="000000"/>
          <w:shd w:val="clear" w:color="auto" w:fill="FFFFFF"/>
        </w:rPr>
        <w:t>v čase predloženia rozhodcovi aj v Zázname o testovaní).</w:t>
      </w:r>
    </w:p>
    <w:p w14:paraId="50E83172" w14:textId="77777777" w:rsidR="00F8659C" w:rsidRDefault="00F8659C" w:rsidP="007F5C33">
      <w:pPr>
        <w:jc w:val="both"/>
        <w:rPr>
          <w:color w:val="000000"/>
          <w:shd w:val="clear" w:color="auto" w:fill="FFFFFF"/>
        </w:rPr>
      </w:pPr>
    </w:p>
    <w:p w14:paraId="6C387DC6" w14:textId="17EFC7CD" w:rsidR="00F8659C" w:rsidRDefault="00F8659C" w:rsidP="007F5C33">
      <w:pPr>
        <w:jc w:val="both"/>
        <w:rPr>
          <w:i/>
          <w:iCs/>
          <w:color w:val="000000"/>
          <w:shd w:val="clear" w:color="auto" w:fill="FFFFFF"/>
        </w:rPr>
      </w:pPr>
      <w:r w:rsidRPr="00F8659C">
        <w:rPr>
          <w:b/>
          <w:bCs/>
          <w:color w:val="000000"/>
          <w:shd w:val="clear" w:color="auto" w:fill="FFFFFF"/>
        </w:rPr>
        <w:t>pozn.</w:t>
      </w:r>
      <w:r>
        <w:rPr>
          <w:color w:val="000000"/>
          <w:shd w:val="clear" w:color="auto" w:fill="FFFFFF"/>
        </w:rPr>
        <w:t xml:space="preserve"> </w:t>
      </w:r>
      <w:r w:rsidRPr="00F8659C">
        <w:rPr>
          <w:i/>
          <w:iCs/>
          <w:color w:val="000000"/>
          <w:shd w:val="clear" w:color="auto" w:fill="FFFFFF"/>
        </w:rPr>
        <w:t>a</w:t>
      </w:r>
      <w:r w:rsidR="007F5C33" w:rsidRPr="00F8659C">
        <w:rPr>
          <w:i/>
          <w:iCs/>
          <w:color w:val="000000"/>
          <w:shd w:val="clear" w:color="auto" w:fill="FFFFFF"/>
        </w:rPr>
        <w:t>k družstvo uvedie do zápisu o stretnutí hráčov/trénerov, ktorí nie sú fyzicky prítomní na stretnutí, tak do Záznamu o testovaní družstva uvedie meno hráča, dátum nar. a pozn. neprítomný</w:t>
      </w:r>
      <w:r w:rsidR="001A304D">
        <w:rPr>
          <w:i/>
          <w:iCs/>
          <w:color w:val="000000"/>
          <w:shd w:val="clear" w:color="auto" w:fill="FFFFFF"/>
        </w:rPr>
        <w:t>.</w:t>
      </w:r>
    </w:p>
    <w:p w14:paraId="3D4AD2C9" w14:textId="77777777" w:rsidR="00F8659C" w:rsidRDefault="00F8659C" w:rsidP="007F5C33">
      <w:pPr>
        <w:jc w:val="both"/>
        <w:rPr>
          <w:i/>
          <w:iCs/>
          <w:color w:val="000000"/>
          <w:shd w:val="clear" w:color="auto" w:fill="FFFFFF"/>
        </w:rPr>
      </w:pPr>
    </w:p>
    <w:p w14:paraId="411446E6" w14:textId="5792CDB7" w:rsidR="001C0DAA" w:rsidRPr="00F8659C" w:rsidRDefault="007F5C33" w:rsidP="00AE6764">
      <w:pPr>
        <w:jc w:val="both"/>
        <w:rPr>
          <w:color w:val="000000"/>
          <w:shd w:val="clear" w:color="auto" w:fill="FFFFFF"/>
        </w:rPr>
      </w:pPr>
      <w:r w:rsidRPr="007F5C33">
        <w:rPr>
          <w:b/>
          <w:color w:val="000000"/>
          <w:u w:val="single"/>
          <w:shd w:val="clear" w:color="auto" w:fill="FFFFFF"/>
        </w:rPr>
        <w:t>V prípade nepredloženia Záznamu o testovaní nasleduje postup:</w:t>
      </w:r>
      <w:r w:rsidRPr="007F5C33">
        <w:rPr>
          <w:color w:val="000000"/>
        </w:rPr>
        <w:br/>
      </w:r>
      <w:r w:rsidRPr="007F5C33">
        <w:rPr>
          <w:color w:val="000000"/>
          <w:shd w:val="clear" w:color="auto" w:fill="FFFFFF"/>
        </w:rPr>
        <w:t>Ak niektoré z družstiev pred začiatkom stretnutia nepredloží riadne vypísaný Záznam o testovaní, hlavný organizátor stretnutia je povinný oznámiť túto skutočnosť hlavnému rozhodcovi najneskôr 30 minút pred oficiálnym začiatkom stretnutia. Hlavný rozhodca je povinný sa osobne skontaktovať s družstvom, ktoré Záznam o testovaní nepredložilo a po potvrdení situácie takéto stretnutie riadne ukončí, podpíše zápis o stretnutí a skutočnosť o nepredložení Záznamu o testovaní uvedie do kontrolného formulára.</w:t>
      </w:r>
      <w:r w:rsidRPr="007F5C33">
        <w:rPr>
          <w:color w:val="000000"/>
        </w:rPr>
        <w:br/>
      </w:r>
      <w:r w:rsidRPr="007F5C33">
        <w:rPr>
          <w:color w:val="000000"/>
        </w:rPr>
        <w:lastRenderedPageBreak/>
        <w:br/>
      </w:r>
      <w:r w:rsidRPr="007F5C33">
        <w:rPr>
          <w:color w:val="000000"/>
          <w:shd w:val="clear" w:color="auto" w:fill="FFFFFF"/>
        </w:rPr>
        <w:t>Družstvo, ktoré pred začiatkom stretnutia nepredloží Záznam o testovaní družstva, bude potrestané v zmysle čl. 21 bodu 21.16 HP SBA a uhradí všetky náklady na rozhodcov.</w:t>
      </w:r>
      <w:r w:rsidRPr="007F5C33">
        <w:rPr>
          <w:color w:val="000000"/>
        </w:rPr>
        <w:br/>
      </w:r>
      <w:r w:rsidRPr="007F5C33">
        <w:rPr>
          <w:color w:val="000000"/>
        </w:rPr>
        <w:br/>
      </w:r>
      <w:r w:rsidRPr="007F5C33">
        <w:rPr>
          <w:b/>
          <w:color w:val="000000"/>
          <w:u w:val="single"/>
          <w:shd w:val="clear" w:color="auto" w:fill="FFFFFF"/>
        </w:rPr>
        <w:t>V prípade predloženia neúplného Záznamu o testovaní nasleduje postup:</w:t>
      </w:r>
      <w:r w:rsidRPr="007F5C33">
        <w:rPr>
          <w:color w:val="000000"/>
        </w:rPr>
        <w:br/>
      </w:r>
      <w:r w:rsidRPr="007F5C33">
        <w:rPr>
          <w:color w:val="000000"/>
          <w:shd w:val="clear" w:color="auto" w:fill="FFFFFF"/>
        </w:rPr>
        <w:t xml:space="preserve">Ak hlavný organizátor zistí, že niečo je nesprávne alebo nedostatočne vyplnené oznámi hlavnému rozhodcovi stretnutia, ktoré družstvo predložilo neúplný záznam testovaní a hlavný rozhodca uvedie do kontrolného formulára názov družstva a poznámku neúplný záznam o testovaní. </w:t>
      </w:r>
      <w:r w:rsidRPr="007F5C33">
        <w:rPr>
          <w:color w:val="000000"/>
        </w:rPr>
        <w:br/>
      </w:r>
    </w:p>
    <w:p w14:paraId="5AA4AEF8" w14:textId="36186B95" w:rsidR="00F810BA" w:rsidRPr="00EF4248" w:rsidRDefault="00F810BA" w:rsidP="004F08E0">
      <w:pPr>
        <w:pStyle w:val="Odsekzoznamu"/>
        <w:numPr>
          <w:ilvl w:val="0"/>
          <w:numId w:val="17"/>
        </w:numPr>
        <w:jc w:val="both"/>
        <w:rPr>
          <w:b/>
          <w:bCs/>
          <w:i/>
          <w:iCs/>
          <w:color w:val="2F5496" w:themeColor="accent1" w:themeShade="BF"/>
          <w:u w:val="single"/>
        </w:rPr>
      </w:pPr>
      <w:r w:rsidRPr="00EF4248">
        <w:rPr>
          <w:b/>
          <w:bCs/>
          <w:i/>
          <w:iCs/>
          <w:color w:val="2F5496" w:themeColor="accent1" w:themeShade="BF"/>
          <w:u w:val="single"/>
        </w:rPr>
        <w:t>Diváci</w:t>
      </w:r>
    </w:p>
    <w:p w14:paraId="61E3F4FD" w14:textId="709EE44F" w:rsidR="00643888" w:rsidRDefault="00643888" w:rsidP="00643888">
      <w:pPr>
        <w:jc w:val="both"/>
        <w:rPr>
          <w:b/>
          <w:bCs/>
          <w:i/>
          <w:iCs/>
        </w:rPr>
      </w:pPr>
    </w:p>
    <w:p w14:paraId="1AA98D62" w14:textId="64D0B200" w:rsidR="00643888" w:rsidRDefault="003E5D07" w:rsidP="00643888">
      <w:pPr>
        <w:jc w:val="both"/>
        <w:rPr>
          <w:b/>
          <w:bCs/>
        </w:rPr>
      </w:pPr>
      <w:r>
        <w:t>Športové podujatia</w:t>
      </w:r>
      <w:r w:rsidR="009231F6">
        <w:t xml:space="preserve">, v rámci ktorých majú </w:t>
      </w:r>
      <w:r w:rsidR="00CA62FD">
        <w:t xml:space="preserve">diváci (t.j. iní účastníci ako </w:t>
      </w:r>
      <w:r w:rsidR="006A639D">
        <w:t xml:space="preserve">osoby priamo zapojené do športovej aktivity) </w:t>
      </w:r>
      <w:r w:rsidR="009231F6">
        <w:t>prekryté horné dýchacie cesty respirátorom</w:t>
      </w:r>
      <w:r w:rsidR="006A639D">
        <w:t xml:space="preserve"> a je na  nich zabezpečené</w:t>
      </w:r>
      <w:r w:rsidR="009231F6">
        <w:t xml:space="preserve"> fixné sedenie alebo státie</w:t>
      </w:r>
      <w:r w:rsidR="006A639D">
        <w:t xml:space="preserve"> sa</w:t>
      </w:r>
      <w:r>
        <w:t xml:space="preserve"> v zmysle vyhlášky klasifikujú ako </w:t>
      </w:r>
      <w:r w:rsidRPr="006A639D">
        <w:rPr>
          <w:b/>
          <w:bCs/>
        </w:rPr>
        <w:t>stredne rizikové podujatia</w:t>
      </w:r>
      <w:r w:rsidR="006A639D">
        <w:rPr>
          <w:b/>
          <w:bCs/>
        </w:rPr>
        <w:t xml:space="preserve">. </w:t>
      </w:r>
      <w:r w:rsidR="006A639D" w:rsidRPr="00672A16">
        <w:t xml:space="preserve">Na týchto podujatiach sa </w:t>
      </w:r>
      <w:r w:rsidR="006A639D">
        <w:rPr>
          <w:b/>
          <w:bCs/>
        </w:rPr>
        <w:t>môž</w:t>
      </w:r>
      <w:r w:rsidR="00F9758B">
        <w:rPr>
          <w:b/>
          <w:bCs/>
        </w:rPr>
        <w:t>u zúčastniť len osoby v režime OP</w:t>
      </w:r>
      <w:r w:rsidR="00F9758B" w:rsidRPr="00672A16">
        <w:t xml:space="preserve">, a </w:t>
      </w:r>
      <w:r w:rsidR="00F9758B">
        <w:t xml:space="preserve">to </w:t>
      </w:r>
      <w:r w:rsidR="00F9758B" w:rsidRPr="00672A16">
        <w:rPr>
          <w:b/>
          <w:bCs/>
        </w:rPr>
        <w:t>maximálne 100 osôb alebo maximálne 25 % kapacity priestorov</w:t>
      </w:r>
      <w:r w:rsidR="00F9758B">
        <w:t xml:space="preserve"> podujatia, t.j. ak má </w:t>
      </w:r>
      <w:r w:rsidR="00672A16">
        <w:t xml:space="preserve">športová </w:t>
      </w:r>
      <w:r w:rsidR="004F24F4">
        <w:t>hala kapacitu 1000</w:t>
      </w:r>
      <w:r w:rsidR="00F9758B">
        <w:t xml:space="preserve"> miest </w:t>
      </w:r>
      <w:r w:rsidR="004F24F4">
        <w:t>na sedenie</w:t>
      </w:r>
      <w:r w:rsidR="00F90D97">
        <w:t xml:space="preserve"> </w:t>
      </w:r>
      <w:r w:rsidR="004F24F4">
        <w:t>je možná účasť 250</w:t>
      </w:r>
      <w:r w:rsidR="000E743A">
        <w:t xml:space="preserve"> sediacich divákov. </w:t>
      </w:r>
      <w:r w:rsidR="00F9758B">
        <w:rPr>
          <w:b/>
          <w:bCs/>
        </w:rPr>
        <w:t xml:space="preserve"> </w:t>
      </w:r>
    </w:p>
    <w:p w14:paraId="67256716" w14:textId="20F0B0C1" w:rsidR="00F6566C" w:rsidRDefault="00F6566C" w:rsidP="00643888">
      <w:pPr>
        <w:jc w:val="both"/>
        <w:rPr>
          <w:b/>
          <w:bCs/>
        </w:rPr>
      </w:pPr>
    </w:p>
    <w:p w14:paraId="4CB995F5" w14:textId="065FCC58" w:rsidR="00F6566C" w:rsidRDefault="00F6566C" w:rsidP="00643888">
      <w:pPr>
        <w:jc w:val="both"/>
        <w:rPr>
          <w:b/>
          <w:bCs/>
        </w:rPr>
      </w:pPr>
      <w:r w:rsidRPr="00996AB3">
        <w:rPr>
          <w:b/>
          <w:bCs/>
          <w:color w:val="000000"/>
          <w:u w:val="single"/>
        </w:rPr>
        <w:t>Všeobecné opatrenia pre hromadné podujatia</w:t>
      </w:r>
      <w:r>
        <w:rPr>
          <w:b/>
          <w:bCs/>
          <w:color w:val="000000"/>
          <w:u w:val="single"/>
        </w:rPr>
        <w:t>:</w:t>
      </w:r>
    </w:p>
    <w:p w14:paraId="194F5B8E" w14:textId="14782663" w:rsidR="005571B8" w:rsidRDefault="005571B8" w:rsidP="00643888">
      <w:pPr>
        <w:jc w:val="both"/>
        <w:rPr>
          <w:b/>
          <w:bCs/>
        </w:rPr>
      </w:pPr>
    </w:p>
    <w:p w14:paraId="6F81FB8A" w14:textId="4F2CF841" w:rsidR="00F6566C" w:rsidRPr="00F6566C" w:rsidRDefault="00F6566C" w:rsidP="00F6566C">
      <w:pPr>
        <w:pStyle w:val="Normlnywebov"/>
        <w:numPr>
          <w:ilvl w:val="0"/>
          <w:numId w:val="22"/>
        </w:numPr>
        <w:spacing w:before="0" w:beforeAutospacing="0" w:after="0" w:afterAutospacing="0"/>
        <w:ind w:left="1080"/>
        <w:jc w:val="both"/>
        <w:textAlignment w:val="baseline"/>
        <w:rPr>
          <w:color w:val="000000"/>
        </w:rPr>
      </w:pPr>
      <w:r w:rsidRPr="00F6566C">
        <w:rPr>
          <w:color w:val="000000"/>
        </w:rPr>
        <w:t>vyhradenie miesta konania podujatia a vyznačenie vstupu a</w:t>
      </w:r>
      <w:r>
        <w:rPr>
          <w:color w:val="000000"/>
        </w:rPr>
        <w:t> </w:t>
      </w:r>
      <w:r w:rsidRPr="00F6566C">
        <w:rPr>
          <w:color w:val="000000"/>
        </w:rPr>
        <w:t>výstupu</w:t>
      </w:r>
      <w:r>
        <w:rPr>
          <w:color w:val="000000"/>
        </w:rPr>
        <w:t>,</w:t>
      </w:r>
    </w:p>
    <w:p w14:paraId="689BD17F" w14:textId="2EC0124B" w:rsidR="00F6566C" w:rsidRPr="00F6566C" w:rsidRDefault="00F6566C" w:rsidP="00F6566C">
      <w:pPr>
        <w:pStyle w:val="Normlnywebov"/>
        <w:numPr>
          <w:ilvl w:val="0"/>
          <w:numId w:val="22"/>
        </w:numPr>
        <w:spacing w:before="0" w:beforeAutospacing="0" w:after="0" w:afterAutospacing="0"/>
        <w:ind w:left="1080"/>
        <w:jc w:val="both"/>
        <w:textAlignment w:val="baseline"/>
        <w:rPr>
          <w:color w:val="000000"/>
        </w:rPr>
      </w:pPr>
      <w:r w:rsidRPr="00F6566C">
        <w:rPr>
          <w:color w:val="000000"/>
        </w:rPr>
        <w:t>umožniť vstup len s prekrytými hornými dýchacími cestami</w:t>
      </w:r>
      <w:r>
        <w:rPr>
          <w:color w:val="000000"/>
        </w:rPr>
        <w:t>,</w:t>
      </w:r>
    </w:p>
    <w:p w14:paraId="3CC0D26C" w14:textId="198A9925" w:rsidR="00F6566C" w:rsidRPr="00F6566C" w:rsidRDefault="00F6566C" w:rsidP="00F6566C">
      <w:pPr>
        <w:pStyle w:val="Normlnywebov"/>
        <w:numPr>
          <w:ilvl w:val="0"/>
          <w:numId w:val="22"/>
        </w:numPr>
        <w:spacing w:before="0" w:beforeAutospacing="0" w:after="0" w:afterAutospacing="0"/>
        <w:ind w:left="1080"/>
        <w:jc w:val="both"/>
        <w:textAlignment w:val="baseline"/>
        <w:rPr>
          <w:color w:val="000000"/>
        </w:rPr>
      </w:pPr>
      <w:r w:rsidRPr="00F6566C">
        <w:rPr>
          <w:color w:val="000000"/>
        </w:rPr>
        <w:t>organizátor musí byť v každej chvíli schopný preukázať počet účastníkov podujatia</w:t>
      </w:r>
      <w:r>
        <w:rPr>
          <w:color w:val="000000"/>
        </w:rPr>
        <w:t>,</w:t>
      </w:r>
    </w:p>
    <w:p w14:paraId="4C55588B" w14:textId="7521E85F" w:rsidR="00F6566C" w:rsidRPr="00F6566C" w:rsidRDefault="00F6566C" w:rsidP="00F6566C">
      <w:pPr>
        <w:pStyle w:val="Normlnywebov"/>
        <w:numPr>
          <w:ilvl w:val="0"/>
          <w:numId w:val="22"/>
        </w:numPr>
        <w:spacing w:before="0" w:beforeAutospacing="0" w:after="0" w:afterAutospacing="0"/>
        <w:ind w:left="1080"/>
        <w:jc w:val="both"/>
        <w:textAlignment w:val="baseline"/>
        <w:rPr>
          <w:color w:val="000000"/>
        </w:rPr>
      </w:pPr>
      <w:r w:rsidRPr="00F6566C">
        <w:rPr>
          <w:color w:val="000000"/>
        </w:rPr>
        <w:t>zaistiť pri vstupe dezinfekciu rúk návštevníkov</w:t>
      </w:r>
      <w:r>
        <w:rPr>
          <w:color w:val="000000"/>
        </w:rPr>
        <w:t>,</w:t>
      </w:r>
    </w:p>
    <w:p w14:paraId="0132A823" w14:textId="407B5E6B" w:rsidR="00F6566C" w:rsidRPr="00F6566C" w:rsidRDefault="00F6566C" w:rsidP="00F6566C">
      <w:pPr>
        <w:pStyle w:val="Normlnywebov"/>
        <w:numPr>
          <w:ilvl w:val="0"/>
          <w:numId w:val="22"/>
        </w:numPr>
        <w:spacing w:before="0" w:beforeAutospacing="0" w:after="0" w:afterAutospacing="0"/>
        <w:ind w:left="1080"/>
        <w:jc w:val="both"/>
        <w:textAlignment w:val="baseline"/>
        <w:rPr>
          <w:color w:val="000000"/>
        </w:rPr>
      </w:pPr>
      <w:r w:rsidRPr="00F6566C">
        <w:rPr>
          <w:color w:val="000000"/>
        </w:rPr>
        <w:t>často vetrať, vykonávať častú dezinfekciu priestorov, hlavne dotykových plôch, kľučiek, podláh v interiéri a</w:t>
      </w:r>
      <w:r>
        <w:rPr>
          <w:color w:val="000000"/>
        </w:rPr>
        <w:t> </w:t>
      </w:r>
      <w:r w:rsidRPr="00F6566C">
        <w:rPr>
          <w:color w:val="000000"/>
        </w:rPr>
        <w:t>predmetov</w:t>
      </w:r>
      <w:r>
        <w:rPr>
          <w:color w:val="000000"/>
        </w:rPr>
        <w:t>,</w:t>
      </w:r>
    </w:p>
    <w:p w14:paraId="0F68FFD0" w14:textId="57E1F42E" w:rsidR="00F6566C" w:rsidRPr="00F6566C" w:rsidRDefault="00F6566C" w:rsidP="00F6566C">
      <w:pPr>
        <w:pStyle w:val="Normlnywebov"/>
        <w:numPr>
          <w:ilvl w:val="0"/>
          <w:numId w:val="22"/>
        </w:numPr>
        <w:spacing w:before="0" w:beforeAutospacing="0" w:after="0" w:afterAutospacing="0"/>
        <w:ind w:left="1080"/>
        <w:jc w:val="both"/>
        <w:textAlignment w:val="baseline"/>
        <w:rPr>
          <w:color w:val="000000"/>
        </w:rPr>
      </w:pPr>
      <w:r w:rsidRPr="00F6566C">
        <w:rPr>
          <w:color w:val="000000"/>
        </w:rPr>
        <w:t>hygienické zariadenia vybaviť tekutým mydlom a papierovými utierkami</w:t>
      </w:r>
      <w:r>
        <w:rPr>
          <w:color w:val="000000"/>
        </w:rPr>
        <w:t>,</w:t>
      </w:r>
    </w:p>
    <w:p w14:paraId="5E273BA5" w14:textId="74ED189D" w:rsidR="00F6566C" w:rsidRPr="00F6566C" w:rsidRDefault="00F6566C" w:rsidP="00F6566C">
      <w:pPr>
        <w:pStyle w:val="Normlnywebov"/>
        <w:numPr>
          <w:ilvl w:val="0"/>
          <w:numId w:val="22"/>
        </w:numPr>
        <w:spacing w:before="0" w:beforeAutospacing="0" w:after="0" w:afterAutospacing="0"/>
        <w:ind w:left="1080"/>
        <w:jc w:val="both"/>
        <w:textAlignment w:val="baseline"/>
        <w:rPr>
          <w:color w:val="000000"/>
        </w:rPr>
      </w:pPr>
      <w:r w:rsidRPr="00F6566C">
        <w:rPr>
          <w:color w:val="000000"/>
        </w:rPr>
        <w:t>zabezpečiť vyvesenie oznamov o povolenom počte účastníkov, o potrebe prekrytia horných dýchacích ciest, o platnom režime</w:t>
      </w:r>
      <w:r>
        <w:rPr>
          <w:color w:val="000000"/>
        </w:rPr>
        <w:t>,</w:t>
      </w:r>
    </w:p>
    <w:p w14:paraId="222821E1" w14:textId="46D624CA" w:rsidR="00F6566C" w:rsidRPr="00F6566C" w:rsidRDefault="00F6566C" w:rsidP="00F6566C">
      <w:pPr>
        <w:pStyle w:val="Normlnywebov"/>
        <w:numPr>
          <w:ilvl w:val="0"/>
          <w:numId w:val="22"/>
        </w:numPr>
        <w:spacing w:before="0" w:beforeAutospacing="0" w:after="0" w:afterAutospacing="0"/>
        <w:ind w:left="1080"/>
        <w:jc w:val="both"/>
        <w:textAlignment w:val="baseline"/>
        <w:rPr>
          <w:color w:val="000000"/>
        </w:rPr>
      </w:pPr>
      <w:r w:rsidRPr="00F6566C">
        <w:rPr>
          <w:color w:val="000000"/>
        </w:rPr>
        <w:t>tam, kde je to možné, zabezpečiť sedenie v každom druhom rade</w:t>
      </w:r>
      <w:r>
        <w:rPr>
          <w:color w:val="000000"/>
        </w:rPr>
        <w:t>.</w:t>
      </w:r>
    </w:p>
    <w:p w14:paraId="499F21B9" w14:textId="77777777" w:rsidR="00F6566C" w:rsidRDefault="00F6566C" w:rsidP="00643888">
      <w:pPr>
        <w:jc w:val="both"/>
      </w:pPr>
    </w:p>
    <w:p w14:paraId="3DFCC01E" w14:textId="04477835" w:rsidR="004F24F4" w:rsidRDefault="00EF4248" w:rsidP="00643888">
      <w:pPr>
        <w:jc w:val="both"/>
      </w:pPr>
      <w:r>
        <w:t>V Bratislave dňa 1</w:t>
      </w:r>
      <w:r w:rsidR="001C0DAA">
        <w:t>8</w:t>
      </w:r>
      <w:r>
        <w:t>.01.2022</w:t>
      </w:r>
    </w:p>
    <w:p w14:paraId="246307BB" w14:textId="77777777" w:rsidR="004F24F4" w:rsidRDefault="004F24F4" w:rsidP="00643888">
      <w:pPr>
        <w:jc w:val="both"/>
      </w:pPr>
    </w:p>
    <w:p w14:paraId="6E799D16" w14:textId="4A8C4143" w:rsidR="004F24F4" w:rsidRDefault="004F24F4" w:rsidP="004F24F4">
      <w:pPr>
        <w:ind w:left="6372" w:firstLine="708"/>
        <w:jc w:val="both"/>
      </w:pPr>
      <w:r>
        <w:t>HK SBA-C</w:t>
      </w:r>
    </w:p>
    <w:sectPr w:rsidR="004F24F4" w:rsidSect="00C50FD2">
      <w:headerReference w:type="default" r:id="rId9"/>
      <w:footerReference w:type="default" r:id="rId10"/>
      <w:pgSz w:w="11906" w:h="15800"/>
      <w:pgMar w:top="1417" w:right="1417" w:bottom="1120" w:left="1417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0A689" w14:textId="77777777" w:rsidR="00BB0DBF" w:rsidRDefault="00BB0DBF">
      <w:r>
        <w:separator/>
      </w:r>
    </w:p>
  </w:endnote>
  <w:endnote w:type="continuationSeparator" w:id="0">
    <w:p w14:paraId="79CBB9D9" w14:textId="77777777" w:rsidR="00BB0DBF" w:rsidRDefault="00BB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AFD7" w14:textId="77777777" w:rsidR="00DD4635" w:rsidRDefault="00960780">
    <w:pPr>
      <w:tabs>
        <w:tab w:val="center" w:pos="4819"/>
        <w:tab w:val="right" w:pos="9921"/>
      </w:tabs>
    </w:pPr>
    <w:r>
      <w:rPr>
        <w:rFonts w:cs="Arial"/>
      </w:rPr>
      <w:tab/>
    </w:r>
    <w:r>
      <w:rPr>
        <w:rFonts w:cs="Arial"/>
      </w:rPr>
      <w:tab/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5E552C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976B" w14:textId="77777777" w:rsidR="00BB0DBF" w:rsidRDefault="00BB0DBF">
      <w:r>
        <w:separator/>
      </w:r>
    </w:p>
  </w:footnote>
  <w:footnote w:type="continuationSeparator" w:id="0">
    <w:p w14:paraId="43AE39F3" w14:textId="77777777" w:rsidR="00BB0DBF" w:rsidRDefault="00BB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FE6F" w14:textId="51ECAC79" w:rsidR="00DD4635" w:rsidRDefault="00960780" w:rsidP="00AD5730">
    <w:pPr>
      <w:tabs>
        <w:tab w:val="center" w:pos="4819"/>
      </w:tabs>
      <w:jc w:val="center"/>
    </w:pPr>
    <w:r>
      <w:rPr>
        <w:rFonts w:ascii="Calibri" w:hAnsi="Calibri" w:cs="Calibri"/>
      </w:rPr>
      <w:t>SLOVENSK</w:t>
    </w:r>
    <w:r w:rsidR="005A47F6">
      <w:rPr>
        <w:rFonts w:ascii="Calibri" w:hAnsi="Calibri" w:cs="Calibri"/>
      </w:rPr>
      <w:t>Á BASKETBALOVÁ ASOCIÁCIA</w:t>
    </w:r>
  </w:p>
  <w:p w14:paraId="3615A012" w14:textId="77777777" w:rsidR="00DD4635" w:rsidRDefault="00BB0DBF">
    <w:pPr>
      <w:tabs>
        <w:tab w:val="center" w:pos="4819"/>
        <w:tab w:val="right" w:pos="9638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DF8"/>
    <w:multiLevelType w:val="hybridMultilevel"/>
    <w:tmpl w:val="2DDCA23E"/>
    <w:lvl w:ilvl="0" w:tplc="B5E22714">
      <w:start w:val="11"/>
      <w:numFmt w:val="lowerLetter"/>
      <w:lvlText w:val="%1)"/>
      <w:lvlJc w:val="left"/>
      <w:pPr>
        <w:ind w:left="33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sk-SK" w:eastAsia="en-US" w:bidi="ar-SA"/>
      </w:rPr>
    </w:lvl>
    <w:lvl w:ilvl="1" w:tplc="80909D78">
      <w:start w:val="1"/>
      <w:numFmt w:val="decimal"/>
      <w:lvlText w:val="(%2)"/>
      <w:lvlJc w:val="left"/>
      <w:pPr>
        <w:ind w:left="122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2" w:tplc="6DEC689E">
      <w:numFmt w:val="bullet"/>
      <w:lvlText w:val="•"/>
      <w:lvlJc w:val="left"/>
      <w:pPr>
        <w:ind w:left="1336" w:hanging="312"/>
      </w:pPr>
      <w:rPr>
        <w:rFonts w:hint="default"/>
        <w:lang w:val="sk-SK" w:eastAsia="en-US" w:bidi="ar-SA"/>
      </w:rPr>
    </w:lvl>
    <w:lvl w:ilvl="3" w:tplc="CB762696">
      <w:numFmt w:val="bullet"/>
      <w:lvlText w:val="•"/>
      <w:lvlJc w:val="left"/>
      <w:pPr>
        <w:ind w:left="2332" w:hanging="312"/>
      </w:pPr>
      <w:rPr>
        <w:rFonts w:hint="default"/>
        <w:lang w:val="sk-SK" w:eastAsia="en-US" w:bidi="ar-SA"/>
      </w:rPr>
    </w:lvl>
    <w:lvl w:ilvl="4" w:tplc="C1EC01F8">
      <w:numFmt w:val="bullet"/>
      <w:lvlText w:val="•"/>
      <w:lvlJc w:val="left"/>
      <w:pPr>
        <w:ind w:left="3328" w:hanging="312"/>
      </w:pPr>
      <w:rPr>
        <w:rFonts w:hint="default"/>
        <w:lang w:val="sk-SK" w:eastAsia="en-US" w:bidi="ar-SA"/>
      </w:rPr>
    </w:lvl>
    <w:lvl w:ilvl="5" w:tplc="C978A9CA">
      <w:numFmt w:val="bullet"/>
      <w:lvlText w:val="•"/>
      <w:lvlJc w:val="left"/>
      <w:pPr>
        <w:ind w:left="4325" w:hanging="312"/>
      </w:pPr>
      <w:rPr>
        <w:rFonts w:hint="default"/>
        <w:lang w:val="sk-SK" w:eastAsia="en-US" w:bidi="ar-SA"/>
      </w:rPr>
    </w:lvl>
    <w:lvl w:ilvl="6" w:tplc="3F3C402E">
      <w:numFmt w:val="bullet"/>
      <w:lvlText w:val="•"/>
      <w:lvlJc w:val="left"/>
      <w:pPr>
        <w:ind w:left="5321" w:hanging="312"/>
      </w:pPr>
      <w:rPr>
        <w:rFonts w:hint="default"/>
        <w:lang w:val="sk-SK" w:eastAsia="en-US" w:bidi="ar-SA"/>
      </w:rPr>
    </w:lvl>
    <w:lvl w:ilvl="7" w:tplc="B5F28052">
      <w:numFmt w:val="bullet"/>
      <w:lvlText w:val="•"/>
      <w:lvlJc w:val="left"/>
      <w:pPr>
        <w:ind w:left="6317" w:hanging="312"/>
      </w:pPr>
      <w:rPr>
        <w:rFonts w:hint="default"/>
        <w:lang w:val="sk-SK" w:eastAsia="en-US" w:bidi="ar-SA"/>
      </w:rPr>
    </w:lvl>
    <w:lvl w:ilvl="8" w:tplc="6E9E2B64">
      <w:numFmt w:val="bullet"/>
      <w:lvlText w:val="•"/>
      <w:lvlJc w:val="left"/>
      <w:pPr>
        <w:ind w:left="7313" w:hanging="312"/>
      </w:pPr>
      <w:rPr>
        <w:rFonts w:hint="default"/>
        <w:lang w:val="sk-SK" w:eastAsia="en-US" w:bidi="ar-SA"/>
      </w:rPr>
    </w:lvl>
  </w:abstractNum>
  <w:abstractNum w:abstractNumId="1" w15:restartNumberingAfterBreak="0">
    <w:nsid w:val="035E4AEC"/>
    <w:multiLevelType w:val="hybridMultilevel"/>
    <w:tmpl w:val="16A28746"/>
    <w:lvl w:ilvl="0" w:tplc="070487A2">
      <w:start w:val="1"/>
      <w:numFmt w:val="lowerLetter"/>
      <w:lvlText w:val="%1)"/>
      <w:lvlJc w:val="left"/>
      <w:pPr>
        <w:ind w:left="4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D00025EE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6128CDF4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9228ABBC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CECCDF30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F7BA4A2A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8EE42B2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BC021AD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4B987696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2" w15:restartNumberingAfterBreak="0">
    <w:nsid w:val="050670FC"/>
    <w:multiLevelType w:val="hybridMultilevel"/>
    <w:tmpl w:val="436CECBE"/>
    <w:lvl w:ilvl="0" w:tplc="BC6882B2">
      <w:start w:val="1"/>
      <w:numFmt w:val="lowerLetter"/>
      <w:lvlText w:val="%1)"/>
      <w:lvlJc w:val="left"/>
      <w:pPr>
        <w:ind w:left="40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6C7C4958">
      <w:start w:val="1"/>
      <w:numFmt w:val="decimal"/>
      <w:lvlText w:val="%2."/>
      <w:lvlJc w:val="left"/>
      <w:pPr>
        <w:ind w:left="606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 w:tplc="2F8EDAA0">
      <w:numFmt w:val="bullet"/>
      <w:lvlText w:val="•"/>
      <w:lvlJc w:val="left"/>
      <w:pPr>
        <w:ind w:left="680" w:hanging="201"/>
      </w:pPr>
      <w:rPr>
        <w:rFonts w:hint="default"/>
        <w:lang w:val="sk-SK" w:eastAsia="en-US" w:bidi="ar-SA"/>
      </w:rPr>
    </w:lvl>
    <w:lvl w:ilvl="3" w:tplc="E870CEE0">
      <w:numFmt w:val="bullet"/>
      <w:lvlText w:val="•"/>
      <w:lvlJc w:val="left"/>
      <w:pPr>
        <w:ind w:left="1758" w:hanging="201"/>
      </w:pPr>
      <w:rPr>
        <w:rFonts w:hint="default"/>
        <w:lang w:val="sk-SK" w:eastAsia="en-US" w:bidi="ar-SA"/>
      </w:rPr>
    </w:lvl>
    <w:lvl w:ilvl="4" w:tplc="017A150C">
      <w:numFmt w:val="bullet"/>
      <w:lvlText w:val="•"/>
      <w:lvlJc w:val="left"/>
      <w:pPr>
        <w:ind w:left="2836" w:hanging="201"/>
      </w:pPr>
      <w:rPr>
        <w:rFonts w:hint="default"/>
        <w:lang w:val="sk-SK" w:eastAsia="en-US" w:bidi="ar-SA"/>
      </w:rPr>
    </w:lvl>
    <w:lvl w:ilvl="5" w:tplc="CFAEE02A">
      <w:numFmt w:val="bullet"/>
      <w:lvlText w:val="•"/>
      <w:lvlJc w:val="left"/>
      <w:pPr>
        <w:ind w:left="3914" w:hanging="201"/>
      </w:pPr>
      <w:rPr>
        <w:rFonts w:hint="default"/>
        <w:lang w:val="sk-SK" w:eastAsia="en-US" w:bidi="ar-SA"/>
      </w:rPr>
    </w:lvl>
    <w:lvl w:ilvl="6" w:tplc="303A83A8">
      <w:numFmt w:val="bullet"/>
      <w:lvlText w:val="•"/>
      <w:lvlJc w:val="left"/>
      <w:pPr>
        <w:ind w:left="4993" w:hanging="201"/>
      </w:pPr>
      <w:rPr>
        <w:rFonts w:hint="default"/>
        <w:lang w:val="sk-SK" w:eastAsia="en-US" w:bidi="ar-SA"/>
      </w:rPr>
    </w:lvl>
    <w:lvl w:ilvl="7" w:tplc="38A8D8F8">
      <w:numFmt w:val="bullet"/>
      <w:lvlText w:val="•"/>
      <w:lvlJc w:val="left"/>
      <w:pPr>
        <w:ind w:left="6071" w:hanging="201"/>
      </w:pPr>
      <w:rPr>
        <w:rFonts w:hint="default"/>
        <w:lang w:val="sk-SK" w:eastAsia="en-US" w:bidi="ar-SA"/>
      </w:rPr>
    </w:lvl>
    <w:lvl w:ilvl="8" w:tplc="459A7406">
      <w:numFmt w:val="bullet"/>
      <w:lvlText w:val="•"/>
      <w:lvlJc w:val="left"/>
      <w:pPr>
        <w:ind w:left="7149" w:hanging="201"/>
      </w:pPr>
      <w:rPr>
        <w:rFonts w:hint="default"/>
        <w:lang w:val="sk-SK" w:eastAsia="en-US" w:bidi="ar-SA"/>
      </w:rPr>
    </w:lvl>
  </w:abstractNum>
  <w:abstractNum w:abstractNumId="3" w15:restartNumberingAfterBreak="0">
    <w:nsid w:val="08973EE2"/>
    <w:multiLevelType w:val="hybridMultilevel"/>
    <w:tmpl w:val="83442D44"/>
    <w:lvl w:ilvl="0" w:tplc="DD1280E0">
      <w:start w:val="1"/>
      <w:numFmt w:val="decimal"/>
      <w:lvlText w:val="%1."/>
      <w:lvlJc w:val="left"/>
      <w:pPr>
        <w:ind w:left="40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sk-SK" w:eastAsia="en-US" w:bidi="ar-SA"/>
      </w:rPr>
    </w:lvl>
    <w:lvl w:ilvl="1" w:tplc="F32CA8E0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06F66E72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6E30918A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DA40554E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163A108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986AA55C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551A5316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DEF886BE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4" w15:restartNumberingAfterBreak="0">
    <w:nsid w:val="0BDF2A3F"/>
    <w:multiLevelType w:val="hybridMultilevel"/>
    <w:tmpl w:val="B966F362"/>
    <w:lvl w:ilvl="0" w:tplc="041B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113A0635"/>
    <w:multiLevelType w:val="hybridMultilevel"/>
    <w:tmpl w:val="7FB4BE3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E068B1"/>
    <w:multiLevelType w:val="hybridMultilevel"/>
    <w:tmpl w:val="4CFCE5FE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7C615E"/>
    <w:multiLevelType w:val="hybridMultilevel"/>
    <w:tmpl w:val="21341402"/>
    <w:lvl w:ilvl="0" w:tplc="6610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07DDB"/>
    <w:multiLevelType w:val="hybridMultilevel"/>
    <w:tmpl w:val="698EC5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43D20"/>
    <w:multiLevelType w:val="hybridMultilevel"/>
    <w:tmpl w:val="504864A6"/>
    <w:lvl w:ilvl="0" w:tplc="AD0631B8">
      <w:start w:val="1"/>
      <w:numFmt w:val="lowerLetter"/>
      <w:lvlText w:val="%1)"/>
      <w:lvlJc w:val="left"/>
      <w:pPr>
        <w:ind w:left="4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CAF6FB5C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B484A47A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64C0B74E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CAAE140E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CC9E6B08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7074B010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0C603F7C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FC726062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10" w15:restartNumberingAfterBreak="0">
    <w:nsid w:val="1D952124"/>
    <w:multiLevelType w:val="hybridMultilevel"/>
    <w:tmpl w:val="1A7A17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84CB7"/>
    <w:multiLevelType w:val="hybridMultilevel"/>
    <w:tmpl w:val="B9068984"/>
    <w:lvl w:ilvl="0" w:tplc="06809CAC">
      <w:start w:val="1"/>
      <w:numFmt w:val="lowerLetter"/>
      <w:lvlText w:val="%1)"/>
      <w:lvlJc w:val="left"/>
      <w:pPr>
        <w:ind w:left="4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08002A42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A6C0A2C8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F984B44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08261B08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6590A500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58DC6AB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5A8AF31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8AC2B25C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12" w15:restartNumberingAfterBreak="0">
    <w:nsid w:val="37864277"/>
    <w:multiLevelType w:val="hybridMultilevel"/>
    <w:tmpl w:val="D94CC0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B0868"/>
    <w:multiLevelType w:val="hybridMultilevel"/>
    <w:tmpl w:val="541C26C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57419"/>
    <w:multiLevelType w:val="hybridMultilevel"/>
    <w:tmpl w:val="7E168D6E"/>
    <w:lvl w:ilvl="0" w:tplc="1652C554">
      <w:start w:val="1"/>
      <w:numFmt w:val="lowerLetter"/>
      <w:lvlText w:val="%1)"/>
      <w:lvlJc w:val="left"/>
      <w:pPr>
        <w:ind w:left="4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C0F043C6">
      <w:start w:val="1"/>
      <w:numFmt w:val="decimal"/>
      <w:lvlText w:val="(%2)"/>
      <w:lvlJc w:val="left"/>
      <w:pPr>
        <w:ind w:left="12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2" w:tplc="82F8F4D2">
      <w:numFmt w:val="bullet"/>
      <w:lvlText w:val="•"/>
      <w:lvlJc w:val="left"/>
      <w:pPr>
        <w:ind w:left="1389" w:hanging="312"/>
      </w:pPr>
      <w:rPr>
        <w:rFonts w:hint="default"/>
        <w:lang w:val="sk-SK" w:eastAsia="en-US" w:bidi="ar-SA"/>
      </w:rPr>
    </w:lvl>
    <w:lvl w:ilvl="3" w:tplc="BC3607EE">
      <w:numFmt w:val="bullet"/>
      <w:lvlText w:val="•"/>
      <w:lvlJc w:val="left"/>
      <w:pPr>
        <w:ind w:left="2379" w:hanging="312"/>
      </w:pPr>
      <w:rPr>
        <w:rFonts w:hint="default"/>
        <w:lang w:val="sk-SK" w:eastAsia="en-US" w:bidi="ar-SA"/>
      </w:rPr>
    </w:lvl>
    <w:lvl w:ilvl="4" w:tplc="B0C280B6">
      <w:numFmt w:val="bullet"/>
      <w:lvlText w:val="•"/>
      <w:lvlJc w:val="left"/>
      <w:pPr>
        <w:ind w:left="3368" w:hanging="312"/>
      </w:pPr>
      <w:rPr>
        <w:rFonts w:hint="default"/>
        <w:lang w:val="sk-SK" w:eastAsia="en-US" w:bidi="ar-SA"/>
      </w:rPr>
    </w:lvl>
    <w:lvl w:ilvl="5" w:tplc="46FCB970">
      <w:numFmt w:val="bullet"/>
      <w:lvlText w:val="•"/>
      <w:lvlJc w:val="left"/>
      <w:pPr>
        <w:ind w:left="4358" w:hanging="312"/>
      </w:pPr>
      <w:rPr>
        <w:rFonts w:hint="default"/>
        <w:lang w:val="sk-SK" w:eastAsia="en-US" w:bidi="ar-SA"/>
      </w:rPr>
    </w:lvl>
    <w:lvl w:ilvl="6" w:tplc="76BEBFE2">
      <w:numFmt w:val="bullet"/>
      <w:lvlText w:val="•"/>
      <w:lvlJc w:val="left"/>
      <w:pPr>
        <w:ind w:left="5348" w:hanging="312"/>
      </w:pPr>
      <w:rPr>
        <w:rFonts w:hint="default"/>
        <w:lang w:val="sk-SK" w:eastAsia="en-US" w:bidi="ar-SA"/>
      </w:rPr>
    </w:lvl>
    <w:lvl w:ilvl="7" w:tplc="DC2AD116">
      <w:numFmt w:val="bullet"/>
      <w:lvlText w:val="•"/>
      <w:lvlJc w:val="left"/>
      <w:pPr>
        <w:ind w:left="6337" w:hanging="312"/>
      </w:pPr>
      <w:rPr>
        <w:rFonts w:hint="default"/>
        <w:lang w:val="sk-SK" w:eastAsia="en-US" w:bidi="ar-SA"/>
      </w:rPr>
    </w:lvl>
    <w:lvl w:ilvl="8" w:tplc="F208DFF4">
      <w:numFmt w:val="bullet"/>
      <w:lvlText w:val="•"/>
      <w:lvlJc w:val="left"/>
      <w:pPr>
        <w:ind w:left="7327" w:hanging="312"/>
      </w:pPr>
      <w:rPr>
        <w:rFonts w:hint="default"/>
        <w:lang w:val="sk-SK" w:eastAsia="en-US" w:bidi="ar-SA"/>
      </w:rPr>
    </w:lvl>
  </w:abstractNum>
  <w:abstractNum w:abstractNumId="15" w15:restartNumberingAfterBreak="0">
    <w:nsid w:val="494364FF"/>
    <w:multiLevelType w:val="hybridMultilevel"/>
    <w:tmpl w:val="D1789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C0693"/>
    <w:multiLevelType w:val="multilevel"/>
    <w:tmpl w:val="AEA2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149E4"/>
    <w:multiLevelType w:val="hybridMultilevel"/>
    <w:tmpl w:val="FEC09BBA"/>
    <w:lvl w:ilvl="0" w:tplc="D322611C">
      <w:start w:val="1"/>
      <w:numFmt w:val="lowerLetter"/>
      <w:lvlText w:val="%1)"/>
      <w:lvlJc w:val="left"/>
      <w:pPr>
        <w:ind w:left="4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0C5211EC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D57A558E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B82C526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E4285D72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73BC5E6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FD90406A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9EAE0764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CB32C458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18" w15:restartNumberingAfterBreak="0">
    <w:nsid w:val="5CDE78D5"/>
    <w:multiLevelType w:val="hybridMultilevel"/>
    <w:tmpl w:val="B9A0D11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E42CE"/>
    <w:multiLevelType w:val="hybridMultilevel"/>
    <w:tmpl w:val="2B84DB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CAF6FB5C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B484A47A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64C0B74E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CAAE140E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CC9E6B08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7074B010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0C603F7C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FC726062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20" w15:restartNumberingAfterBreak="0">
    <w:nsid w:val="68612071"/>
    <w:multiLevelType w:val="hybridMultilevel"/>
    <w:tmpl w:val="9252DC82"/>
    <w:lvl w:ilvl="0" w:tplc="F2E61730">
      <w:start w:val="1"/>
      <w:numFmt w:val="decimal"/>
      <w:lvlText w:val="(%1)"/>
      <w:lvlJc w:val="left"/>
      <w:pPr>
        <w:ind w:left="76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E2906A4A">
      <w:numFmt w:val="bullet"/>
      <w:lvlText w:val="•"/>
      <w:lvlJc w:val="left"/>
      <w:pPr>
        <w:ind w:left="1614" w:hanging="363"/>
      </w:pPr>
      <w:rPr>
        <w:rFonts w:hint="default"/>
        <w:lang w:val="sk-SK" w:eastAsia="en-US" w:bidi="ar-SA"/>
      </w:rPr>
    </w:lvl>
    <w:lvl w:ilvl="2" w:tplc="2E9A4786">
      <w:numFmt w:val="bullet"/>
      <w:lvlText w:val="•"/>
      <w:lvlJc w:val="left"/>
      <w:pPr>
        <w:ind w:left="2469" w:hanging="363"/>
      </w:pPr>
      <w:rPr>
        <w:rFonts w:hint="default"/>
        <w:lang w:val="sk-SK" w:eastAsia="en-US" w:bidi="ar-SA"/>
      </w:rPr>
    </w:lvl>
    <w:lvl w:ilvl="3" w:tplc="3FD683E0">
      <w:numFmt w:val="bullet"/>
      <w:lvlText w:val="•"/>
      <w:lvlJc w:val="left"/>
      <w:pPr>
        <w:ind w:left="3323" w:hanging="363"/>
      </w:pPr>
      <w:rPr>
        <w:rFonts w:hint="default"/>
        <w:lang w:val="sk-SK" w:eastAsia="en-US" w:bidi="ar-SA"/>
      </w:rPr>
    </w:lvl>
    <w:lvl w:ilvl="4" w:tplc="C44AE13E">
      <w:numFmt w:val="bullet"/>
      <w:lvlText w:val="•"/>
      <w:lvlJc w:val="left"/>
      <w:pPr>
        <w:ind w:left="4178" w:hanging="363"/>
      </w:pPr>
      <w:rPr>
        <w:rFonts w:hint="default"/>
        <w:lang w:val="sk-SK" w:eastAsia="en-US" w:bidi="ar-SA"/>
      </w:rPr>
    </w:lvl>
    <w:lvl w:ilvl="5" w:tplc="C5E6BFD6">
      <w:numFmt w:val="bullet"/>
      <w:lvlText w:val="•"/>
      <w:lvlJc w:val="left"/>
      <w:pPr>
        <w:ind w:left="5033" w:hanging="363"/>
      </w:pPr>
      <w:rPr>
        <w:rFonts w:hint="default"/>
        <w:lang w:val="sk-SK" w:eastAsia="en-US" w:bidi="ar-SA"/>
      </w:rPr>
    </w:lvl>
    <w:lvl w:ilvl="6" w:tplc="17D81BEE">
      <w:numFmt w:val="bullet"/>
      <w:lvlText w:val="•"/>
      <w:lvlJc w:val="left"/>
      <w:pPr>
        <w:ind w:left="5887" w:hanging="363"/>
      </w:pPr>
      <w:rPr>
        <w:rFonts w:hint="default"/>
        <w:lang w:val="sk-SK" w:eastAsia="en-US" w:bidi="ar-SA"/>
      </w:rPr>
    </w:lvl>
    <w:lvl w:ilvl="7" w:tplc="F4DAED10">
      <w:numFmt w:val="bullet"/>
      <w:lvlText w:val="•"/>
      <w:lvlJc w:val="left"/>
      <w:pPr>
        <w:ind w:left="6742" w:hanging="363"/>
      </w:pPr>
      <w:rPr>
        <w:rFonts w:hint="default"/>
        <w:lang w:val="sk-SK" w:eastAsia="en-US" w:bidi="ar-SA"/>
      </w:rPr>
    </w:lvl>
    <w:lvl w:ilvl="8" w:tplc="2BE8C102">
      <w:numFmt w:val="bullet"/>
      <w:lvlText w:val="•"/>
      <w:lvlJc w:val="left"/>
      <w:pPr>
        <w:ind w:left="7597" w:hanging="363"/>
      </w:pPr>
      <w:rPr>
        <w:rFonts w:hint="default"/>
        <w:lang w:val="sk-SK" w:eastAsia="en-US" w:bidi="ar-SA"/>
      </w:rPr>
    </w:lvl>
  </w:abstractNum>
  <w:abstractNum w:abstractNumId="21" w15:restartNumberingAfterBreak="0">
    <w:nsid w:val="72B852A8"/>
    <w:multiLevelType w:val="hybridMultilevel"/>
    <w:tmpl w:val="8AC8B218"/>
    <w:lvl w:ilvl="0" w:tplc="6610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C48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20"/>
  </w:num>
  <w:num w:numId="8">
    <w:abstractNumId w:val="18"/>
  </w:num>
  <w:num w:numId="9">
    <w:abstractNumId w:val="19"/>
  </w:num>
  <w:num w:numId="10">
    <w:abstractNumId w:val="2"/>
  </w:num>
  <w:num w:numId="11">
    <w:abstractNumId w:val="14"/>
  </w:num>
  <w:num w:numId="12">
    <w:abstractNumId w:val="11"/>
  </w:num>
  <w:num w:numId="13">
    <w:abstractNumId w:val="1"/>
  </w:num>
  <w:num w:numId="14">
    <w:abstractNumId w:val="17"/>
  </w:num>
  <w:num w:numId="15">
    <w:abstractNumId w:val="0"/>
  </w:num>
  <w:num w:numId="16">
    <w:abstractNumId w:val="13"/>
  </w:num>
  <w:num w:numId="17">
    <w:abstractNumId w:val="10"/>
  </w:num>
  <w:num w:numId="18">
    <w:abstractNumId w:val="5"/>
  </w:num>
  <w:num w:numId="19">
    <w:abstractNumId w:val="4"/>
  </w:num>
  <w:num w:numId="20">
    <w:abstractNumId w:val="12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68"/>
    <w:rsid w:val="00000186"/>
    <w:rsid w:val="000258BB"/>
    <w:rsid w:val="000313F8"/>
    <w:rsid w:val="00036BEC"/>
    <w:rsid w:val="000426BF"/>
    <w:rsid w:val="0006039E"/>
    <w:rsid w:val="000B4CEA"/>
    <w:rsid w:val="000C2CAE"/>
    <w:rsid w:val="000E743A"/>
    <w:rsid w:val="000F1A24"/>
    <w:rsid w:val="00133185"/>
    <w:rsid w:val="001506E0"/>
    <w:rsid w:val="001760B1"/>
    <w:rsid w:val="00180F5C"/>
    <w:rsid w:val="00184D61"/>
    <w:rsid w:val="001922E1"/>
    <w:rsid w:val="00197E03"/>
    <w:rsid w:val="001A304D"/>
    <w:rsid w:val="001C0DAA"/>
    <w:rsid w:val="001D3AE9"/>
    <w:rsid w:val="001E3ED9"/>
    <w:rsid w:val="001F4277"/>
    <w:rsid w:val="00200F0A"/>
    <w:rsid w:val="00206EF9"/>
    <w:rsid w:val="00262960"/>
    <w:rsid w:val="00264FCB"/>
    <w:rsid w:val="002C4845"/>
    <w:rsid w:val="002F2E36"/>
    <w:rsid w:val="0032534B"/>
    <w:rsid w:val="00346EC5"/>
    <w:rsid w:val="00357674"/>
    <w:rsid w:val="00367071"/>
    <w:rsid w:val="00370B61"/>
    <w:rsid w:val="00391048"/>
    <w:rsid w:val="003A4994"/>
    <w:rsid w:val="003C13D8"/>
    <w:rsid w:val="003D5E2A"/>
    <w:rsid w:val="003D6E71"/>
    <w:rsid w:val="003E56F1"/>
    <w:rsid w:val="003E5D07"/>
    <w:rsid w:val="00426292"/>
    <w:rsid w:val="00447312"/>
    <w:rsid w:val="004574FF"/>
    <w:rsid w:val="00476697"/>
    <w:rsid w:val="00482490"/>
    <w:rsid w:val="0048751B"/>
    <w:rsid w:val="004F08E0"/>
    <w:rsid w:val="004F24F4"/>
    <w:rsid w:val="00530230"/>
    <w:rsid w:val="0053334E"/>
    <w:rsid w:val="00552A68"/>
    <w:rsid w:val="005569D1"/>
    <w:rsid w:val="005571B8"/>
    <w:rsid w:val="005907F8"/>
    <w:rsid w:val="005A47F6"/>
    <w:rsid w:val="005B4C77"/>
    <w:rsid w:val="005D77C2"/>
    <w:rsid w:val="005E552C"/>
    <w:rsid w:val="0061099D"/>
    <w:rsid w:val="006174CD"/>
    <w:rsid w:val="006366DE"/>
    <w:rsid w:val="00643888"/>
    <w:rsid w:val="00666477"/>
    <w:rsid w:val="00670F93"/>
    <w:rsid w:val="00672A16"/>
    <w:rsid w:val="0067465C"/>
    <w:rsid w:val="006A639D"/>
    <w:rsid w:val="006C4738"/>
    <w:rsid w:val="006F0115"/>
    <w:rsid w:val="006F0F84"/>
    <w:rsid w:val="00727A91"/>
    <w:rsid w:val="00732F38"/>
    <w:rsid w:val="007637EB"/>
    <w:rsid w:val="00763BFE"/>
    <w:rsid w:val="00791837"/>
    <w:rsid w:val="007A14ED"/>
    <w:rsid w:val="007B19C2"/>
    <w:rsid w:val="007D4547"/>
    <w:rsid w:val="007E78BD"/>
    <w:rsid w:val="007F42BD"/>
    <w:rsid w:val="007F4A93"/>
    <w:rsid w:val="007F5C33"/>
    <w:rsid w:val="007F737D"/>
    <w:rsid w:val="008045F3"/>
    <w:rsid w:val="00854F98"/>
    <w:rsid w:val="0085533C"/>
    <w:rsid w:val="008646C9"/>
    <w:rsid w:val="008A7D02"/>
    <w:rsid w:val="008C0E5B"/>
    <w:rsid w:val="008E380E"/>
    <w:rsid w:val="008F316C"/>
    <w:rsid w:val="00903FA2"/>
    <w:rsid w:val="00904A92"/>
    <w:rsid w:val="0090654B"/>
    <w:rsid w:val="009231F6"/>
    <w:rsid w:val="00926AD3"/>
    <w:rsid w:val="00960780"/>
    <w:rsid w:val="009814EE"/>
    <w:rsid w:val="00985426"/>
    <w:rsid w:val="00995F8C"/>
    <w:rsid w:val="009B60AB"/>
    <w:rsid w:val="009E17AC"/>
    <w:rsid w:val="009F26C0"/>
    <w:rsid w:val="00A013B1"/>
    <w:rsid w:val="00A16D7A"/>
    <w:rsid w:val="00A56D26"/>
    <w:rsid w:val="00A63DA8"/>
    <w:rsid w:val="00A6481C"/>
    <w:rsid w:val="00A70D67"/>
    <w:rsid w:val="00A90889"/>
    <w:rsid w:val="00A91794"/>
    <w:rsid w:val="00A9708F"/>
    <w:rsid w:val="00AA30C3"/>
    <w:rsid w:val="00AC5DA8"/>
    <w:rsid w:val="00AC6E83"/>
    <w:rsid w:val="00AD5730"/>
    <w:rsid w:val="00AE6764"/>
    <w:rsid w:val="00B32D97"/>
    <w:rsid w:val="00B4351B"/>
    <w:rsid w:val="00B610C6"/>
    <w:rsid w:val="00B736DF"/>
    <w:rsid w:val="00B91B2C"/>
    <w:rsid w:val="00BA1734"/>
    <w:rsid w:val="00BB0DBF"/>
    <w:rsid w:val="00BB5799"/>
    <w:rsid w:val="00BC196C"/>
    <w:rsid w:val="00BE492E"/>
    <w:rsid w:val="00BE5BFF"/>
    <w:rsid w:val="00C951EE"/>
    <w:rsid w:val="00CA569B"/>
    <w:rsid w:val="00CA62FD"/>
    <w:rsid w:val="00CA7A18"/>
    <w:rsid w:val="00CC4FFB"/>
    <w:rsid w:val="00CE38EB"/>
    <w:rsid w:val="00D33251"/>
    <w:rsid w:val="00D53642"/>
    <w:rsid w:val="00D77A84"/>
    <w:rsid w:val="00D974EC"/>
    <w:rsid w:val="00DA42B8"/>
    <w:rsid w:val="00DA6945"/>
    <w:rsid w:val="00DC2D90"/>
    <w:rsid w:val="00DC4027"/>
    <w:rsid w:val="00DD4D2F"/>
    <w:rsid w:val="00DE0A85"/>
    <w:rsid w:val="00DF1DB6"/>
    <w:rsid w:val="00DF7AE4"/>
    <w:rsid w:val="00E511BF"/>
    <w:rsid w:val="00E56BAD"/>
    <w:rsid w:val="00EC5554"/>
    <w:rsid w:val="00ED77D6"/>
    <w:rsid w:val="00EF4248"/>
    <w:rsid w:val="00F25387"/>
    <w:rsid w:val="00F52AB5"/>
    <w:rsid w:val="00F640EC"/>
    <w:rsid w:val="00F6566C"/>
    <w:rsid w:val="00F71939"/>
    <w:rsid w:val="00F76113"/>
    <w:rsid w:val="00F810BA"/>
    <w:rsid w:val="00F8659C"/>
    <w:rsid w:val="00F90D97"/>
    <w:rsid w:val="00F9758B"/>
    <w:rsid w:val="00FA7A57"/>
    <w:rsid w:val="00FB1783"/>
    <w:rsid w:val="00FB4200"/>
    <w:rsid w:val="00FB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F8A6"/>
  <w15:docId w15:val="{2D00C42D-5D03-4515-BC0A-26704731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2A68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552A68"/>
  </w:style>
  <w:style w:type="paragraph" w:styleId="Normlnywebov">
    <w:name w:val="Normal (Web)"/>
    <w:basedOn w:val="Normlny"/>
    <w:uiPriority w:val="99"/>
    <w:unhideWhenUsed/>
    <w:rsid w:val="00552A68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1"/>
    <w:qFormat/>
    <w:rsid w:val="00552A68"/>
    <w:pPr>
      <w:ind w:left="708"/>
    </w:pPr>
  </w:style>
  <w:style w:type="paragraph" w:styleId="Zkladntext">
    <w:name w:val="Body Text"/>
    <w:basedOn w:val="Normlny"/>
    <w:link w:val="ZkladntextChar"/>
    <w:uiPriority w:val="1"/>
    <w:qFormat/>
    <w:rsid w:val="00F52AB5"/>
    <w:pPr>
      <w:widowControl w:val="0"/>
      <w:autoSpaceDE w:val="0"/>
      <w:autoSpaceDN w:val="0"/>
      <w:spacing w:before="2"/>
      <w:ind w:left="405" w:hanging="284"/>
      <w:jc w:val="both"/>
    </w:pPr>
    <w:rPr>
      <w:sz w:val="20"/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2AB5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16D7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A16D7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47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47F6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47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A47F6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47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47F6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AE274-8C42-4833-BDB4-8247FD52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Berdisová</dc:creator>
  <cp:lastModifiedBy>hksba</cp:lastModifiedBy>
  <cp:revision>10</cp:revision>
  <cp:lastPrinted>2021-08-13T09:41:00Z</cp:lastPrinted>
  <dcterms:created xsi:type="dcterms:W3CDTF">2022-01-13T10:11:00Z</dcterms:created>
  <dcterms:modified xsi:type="dcterms:W3CDTF">2022-01-18T15:01:00Z</dcterms:modified>
</cp:coreProperties>
</file>